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Bolt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Renaissance Technologies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98,625.00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98,625.00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98,625.00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Renaissance Technologies Holdings Corporation</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98,625.00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98,625.00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98,625.00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Bolt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 CHESAPEAKE DRIVE, REDWOOD CITY, CA 94063</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Renaissance Technologies LLC ("RTC") and Renaissance Technologies Holdings Corporation ("RTHC").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520 Madison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Citizenship: </w:t>
            </w:r>
          </w:p>
          <w:p>
            <w:pPr>
              <w:pStyle w:val="TableContents"/>
              <w:bidi w:val="0"/>
              <w:spacing w:before="0" w:after="0"/>
              <w:jc w:val="left"/>
              <w:rPr/>
            </w:pPr>
            <w:r>
              <w:rPr/>
              <w:t>RTC is a Delaware limited liability company, and RTHC is 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(g)</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(h)</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(j)</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(k)</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98625</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5.13  %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98625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98625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Certain funds managed by RTC have the right to receive dividends and proceeds from the sale of the securities which are the subject of this report.</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8.</w:t>
            </w:r>
          </w:p>
        </w:tc>
        <w:tc>
          <w:tcPr>
            <w:tcW w:w="893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9.</w:t>
            </w:r>
          </w:p>
        </w:tc>
        <w:tc>
          <w:tcPr>
            <w:tcW w:w="893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Renaissance Technologies LLC</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Brian Felczak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9912" w:type="dxa"/>
        <w:jc w:val="left"/>
        <w:tblInd w:w="0" w:type="dxa"/>
        <w:tblLayout w:type="fixed"/>
        <w:tblCellMar>
          <w:top w:w="28" w:type="dxa"/>
          <w:left w:w="28" w:type="dxa"/>
          <w:bottom w:w="28" w:type="dxa"/>
          <w:right w:w="28" w:type="dxa"/>
        </w:tblCellMar>
      </w:tblPr>
      <w:tblGrid>
        <w:gridCol w:w="4956"/>
        <w:gridCol w:w="4956"/>
      </w:tblGrid>
      <w:tr>
        <w:trPr/>
        <w:tc>
          <w:tcPr>
            <w:tcW w:w="4956" w:type="dxa"/>
            <w:tcBorders/>
            <w:vAlign w:val="center"/>
          </w:tcPr>
          <w:p>
            <w:pPr>
              <w:pStyle w:val="TableContents"/>
              <w:bidi w:val="0"/>
              <w:spacing w:before="0" w:after="0"/>
              <w:jc w:val="left"/>
              <w:rPr/>
            </w:pPr>
            <w:r>
              <w:rPr/>
              <w:t> </w:t>
            </w:r>
          </w:p>
          <w:tbl>
            <w:tblPr>
              <w:tblW w:w="4801" w:type="dxa"/>
              <w:jc w:val="left"/>
              <w:tblInd w:w="0" w:type="dxa"/>
              <w:tblLayout w:type="fixed"/>
              <w:tblCellMar>
                <w:top w:w="28" w:type="dxa"/>
                <w:left w:w="28" w:type="dxa"/>
                <w:bottom w:w="28" w:type="dxa"/>
                <w:right w:w="28" w:type="dxa"/>
              </w:tblCellMar>
            </w:tblPr>
            <w:tblGrid>
              <w:gridCol w:w="4801"/>
            </w:tblGrid>
            <w:tr>
              <w:trPr/>
              <w:tc>
                <w:tcPr>
                  <w:tcW w:w="4801" w:type="dxa"/>
                  <w:tcBorders/>
                  <w:vAlign w:val="center"/>
                </w:tcPr>
                <w:p>
                  <w:pPr>
                    <w:pStyle w:val="TableContents"/>
                    <w:bidi w:val="0"/>
                    <w:spacing w:before="0" w:after="0"/>
                    <w:jc w:val="left"/>
                    <w:rPr/>
                  </w:pPr>
                  <w:r>
                    <w:rPr/>
                    <w:t>Renaissance Technologies Holdings Corporation</w:t>
                  </w:r>
                </w:p>
              </w:tc>
            </w:tr>
          </w:tbl>
          <w:p>
            <w:pPr>
              <w:pStyle w:val="TableContents"/>
              <w:bidi w:val="0"/>
              <w:spacing w:before="0" w:after="283"/>
              <w:jc w:val="left"/>
              <w:rPr/>
            </w:pPr>
            <w:r>
              <w:rPr/>
            </w:r>
          </w:p>
        </w:tc>
        <w:tc>
          <w:tcPr>
            <w:tcW w:w="4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Brian Felczak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In accordance with Rule 13d-1(k) under the Securities Exchange Act of 1934, as amended, each of the undersigned agrees to the filing on behalf of each of a Statement on Schedule 13G, and all amendments thereto, with respect to the shares of Common Stock, $0.00001 par value of Bolt Biotherapeutics, Inc.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1043</Words>
  <Characters>5400</Characters>
  <CharactersWithSpaces>6412</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