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20"/>
        </w:rPr>
      </w:pPr>
      <w:bookmarkStart w:id="0" w:name="bolt-20260312.htm"/>
      <w:bookmarkStart w:id="1" w:name="ksbolt20260312"/>
      <w:bookmarkEnd w:id="0"/>
      <w:bookmarkEnd w:id="1"/>
      <w:r>
        <w:rPr>
          <w:rFonts w:ascii="Times New Roman" w:hAnsi="Times New Roman"/>
          <w:b/>
          <w:color w:val="000000"/>
          <w:sz w:val="20"/>
        </w:rPr>
        <w:t>As filed with the U.S. Securities and Exchange Commission on March 12, 2026</w:t>
      </w:r>
      <w:r>
        <w:rPr>
          <w:rFonts w:ascii="Times New Roman" w:hAnsi="Times New Roman"/>
          <w:color w:val="000000"/>
          <w:sz w:val="20"/>
        </w:rPr>
        <w:t xml:space="preserve"> </w:t>
      </w:r>
    </w:p>
    <w:p>
      <w:pPr>
        <w:pStyle w:val="TextBody"/>
        <w:bidi w:val="0"/>
        <w:jc w:val="right"/>
        <w:rPr>
          <w:rFonts w:ascii="Times New Roman" w:hAnsi="Times New Roman"/>
          <w:sz w:val="20"/>
        </w:rPr>
      </w:pPr>
      <w:r>
        <w:rPr>
          <w:rFonts w:ascii="Times New Roman" w:hAnsi="Times New Roman"/>
          <w:b/>
          <w:color w:val="000000"/>
          <w:sz w:val="20"/>
        </w:rPr>
        <w:t>Registration No. 333-</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36"/>
        </w:rPr>
        <w:t>FORM S-8</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REGISTRATION STATEMENT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4"/>
        </w:rPr>
        <w:t>UNDER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4"/>
        </w:rPr>
        <w:t>THE SECURITIES ACT OF 1933</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48"/>
        </w:rPr>
        <w:t>BOLT BIOTHERAPEUTICS,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018" w:type="dxa"/>
        <w:jc w:val="left"/>
        <w:tblInd w:w="0" w:type="dxa"/>
        <w:tblLayout w:type="fixed"/>
        <w:tblCellMar>
          <w:top w:w="28" w:type="dxa"/>
          <w:left w:w="28" w:type="dxa"/>
          <w:bottom w:w="28" w:type="dxa"/>
          <w:right w:w="28" w:type="dxa"/>
        </w:tblCellMar>
      </w:tblPr>
      <w:tblGrid>
        <w:gridCol w:w="2386"/>
        <w:gridCol w:w="146"/>
        <w:gridCol w:w="1486"/>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47-2804636</w:t>
            </w:r>
          </w:p>
        </w:tc>
      </w:tr>
      <w:tr>
        <w:trPr/>
        <w:tc>
          <w:tcPr>
            <w:tcW w:w="23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900 Chesapeake Drive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Redwood City, California 94063</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(650) 665-9295</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offices) (Zip code)</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Bolt Biotherapeutics, Inc. 2021 Equity Incentive Plan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Bolt Biotherapeutics, Inc. 2021 Employee Stock Purchase Plan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(Full titles of the plans)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William P. Quinn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Chief Executive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Bolt Biotherapeutics,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900 Chesapeake Drive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Redwood City, California 94063</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(650) 665-9295</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(Name and address of agent for service) (Telephone number, including area code, of agent for service)</w:t>
      </w:r>
    </w:p>
    <w:p>
      <w:pPr>
        <w:pStyle w:val="TextBody"/>
        <w:bidi w:val="0"/>
        <w:spacing w:before="120" w:after="283"/>
        <w:jc w:val="center"/>
        <w:rPr>
          <w:rFonts w:ascii="Times New Roman" w:hAnsi="Times New Roman"/>
          <w:sz w:val="20"/>
        </w:rPr>
      </w:pPr>
      <w:r>
        <w:rPr>
          <w:rFonts w:ascii="Times New Roman" w:hAnsi="Times New Roman"/>
          <w:b/>
          <w:i/>
          <w:color w:val="000000"/>
          <w:sz w:val="20"/>
        </w:rPr>
        <w:t>Copy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John T. McKenna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Cooley LLP</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3175 Hanover Street</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Palo Alto, CA 94304</w:t>
      </w:r>
    </w:p>
    <w:p>
      <w:pPr>
        <w:pStyle w:val="TextBody"/>
        <w:bidi w:val="0"/>
        <w:jc w:val="center"/>
        <w:rPr>
          <w:rFonts w:ascii="Times New Roman" w:hAnsi="Times New Roman"/>
          <w:sz w:val="20"/>
        </w:rPr>
      </w:pPr>
      <w:r>
        <w:rPr>
          <w:rFonts w:ascii="Times New Roman" w:hAnsi="Times New Roman"/>
          <w:b/>
          <w:color w:val="000000"/>
          <w:sz w:val="20"/>
        </w:rPr>
        <w:t>(650) 843-5000</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347" w:type="dxa"/>
        <w:jc w:val="left"/>
        <w:tblInd w:w="0" w:type="dxa"/>
        <w:tblLayout w:type="fixed"/>
        <w:tblCellMar>
          <w:top w:w="28" w:type="dxa"/>
          <w:left w:w="28" w:type="dxa"/>
          <w:bottom w:w="28" w:type="dxa"/>
          <w:right w:w="28" w:type="dxa"/>
        </w:tblCellMar>
      </w:tblPr>
      <w:tblGrid>
        <w:gridCol w:w="1921"/>
        <w:gridCol w:w="146"/>
        <w:gridCol w:w="316"/>
        <w:gridCol w:w="146"/>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EXPLANATORY NOTE</w:t>
      </w:r>
      <w:r>
        <w:rPr>
          <w:rFonts w:ascii="Times New Roman" w:hAnsi="Times New Roman"/>
          <w:color w:val="000000"/>
          <w:sz w:val="20"/>
        </w:rPr>
        <w:t xml:space="preserve"> </w:t>
      </w:r>
    </w:p>
    <w:p>
      <w:pPr>
        <w:pStyle w:val="TextBody"/>
        <w:bidi w:val="0"/>
        <w:spacing w:before="240" w:after="283"/>
        <w:jc w:val="left"/>
        <w:rPr/>
      </w:pPr>
      <w:r>
        <w:rPr>
          <w:rFonts w:ascii="Times New Roman" w:hAnsi="Times New Roman"/>
          <w:color w:val="000000"/>
          <w:sz w:val="20"/>
        </w:rPr>
        <w:t>Bolt Biotherapeutics, Inc. (the “</w:t>
      </w:r>
      <w:r>
        <w:rPr>
          <w:rFonts w:ascii="Times New Roman" w:hAnsi="Times New Roman"/>
          <w:b/>
          <w:i/>
          <w:color w:val="000000"/>
          <w:sz w:val="20"/>
        </w:rPr>
        <w:t>Registrant</w:t>
      </w:r>
      <w:r>
        <w:rPr>
          <w:rFonts w:ascii="Times New Roman" w:hAnsi="Times New Roman"/>
          <w:color w:val="000000"/>
          <w:sz w:val="20"/>
        </w:rPr>
        <w:t>”) is filing this Registration Statement on Form S-8 for the purpose of registering an additional (a) 96,028 shares of its common stock, par value $0.00001 per share (the “</w:t>
      </w:r>
      <w:r>
        <w:rPr>
          <w:rFonts w:ascii="Times New Roman" w:hAnsi="Times New Roman"/>
          <w:b/>
          <w:i/>
          <w:color w:val="000000"/>
          <w:sz w:val="20"/>
        </w:rPr>
        <w:t>Common Stock</w:t>
      </w:r>
      <w:r>
        <w:rPr>
          <w:rFonts w:ascii="Times New Roman" w:hAnsi="Times New Roman"/>
          <w:color w:val="000000"/>
          <w:sz w:val="20"/>
        </w:rPr>
        <w:t xml:space="preserve">”), issuable to eligible persons under the 2021 Equity Incentive Plan, which Common Stock is in addition to the shares of Common Stock registered on the Registrant’s registration statement on Form S-8s filed on </w:t>
      </w:r>
      <w:hyperlink r:id="rId2">
        <w:r>
          <w:rPr>
            <w:rStyle w:val="InternetLink"/>
            <w:rFonts w:ascii="Times New Roman" w:hAnsi="Times New Roman"/>
            <w:color w:val="0000FF"/>
            <w:sz w:val="20"/>
            <w:u w:val="single"/>
          </w:rPr>
          <w:t>February 5, 2021 (File No. 333-252815)</w:t>
        </w:r>
      </w:hyperlink>
      <w:r>
        <w:rPr>
          <w:rFonts w:ascii="Times New Roman" w:hAnsi="Times New Roman"/>
          <w:color w:val="000000"/>
          <w:sz w:val="20"/>
        </w:rPr>
        <w:t xml:space="preserve">, </w:t>
      </w:r>
      <w:hyperlink r:id="rId3">
        <w:r>
          <w:rPr>
            <w:rStyle w:val="InternetLink"/>
            <w:rFonts w:ascii="Times New Roman" w:hAnsi="Times New Roman"/>
            <w:color w:val="0000FF"/>
            <w:sz w:val="20"/>
            <w:u w:val="single"/>
          </w:rPr>
          <w:t>March 30, 2022 (File No. 333-263987)</w:t>
        </w:r>
      </w:hyperlink>
      <w:r>
        <w:rPr>
          <w:rFonts w:ascii="Times New Roman" w:hAnsi="Times New Roman"/>
          <w:color w:val="000000"/>
          <w:sz w:val="20"/>
        </w:rPr>
        <w:t xml:space="preserve">, </w:t>
      </w:r>
      <w:hyperlink r:id="rId4">
        <w:r>
          <w:rPr>
            <w:rStyle w:val="InternetLink"/>
            <w:rFonts w:ascii="Times New Roman" w:hAnsi="Times New Roman"/>
            <w:color w:val="0000FF"/>
            <w:sz w:val="20"/>
            <w:u w:val="single"/>
          </w:rPr>
          <w:t>March 29, 2023 (File No. 333-270938),</w:t>
        </w:r>
      </w:hyperlink>
      <w:hyperlink r:id="rId5">
        <w:r>
          <w:rPr>
            <w:rStyle w:val="InternetLink"/>
            <w:rFonts w:ascii="Times New Roman" w:hAnsi="Times New Roman"/>
            <w:color w:val="0000FF"/>
            <w:sz w:val="20"/>
          </w:rPr>
          <w:t xml:space="preserve"> </w:t>
        </w:r>
      </w:hyperlink>
      <w:hyperlink r:id="rId6">
        <w:r>
          <w:rPr>
            <w:rStyle w:val="InternetLink"/>
            <w:rFonts w:ascii="Times New Roman" w:hAnsi="Times New Roman"/>
            <w:color w:val="0000FF"/>
            <w:sz w:val="20"/>
            <w:u w:val="single"/>
          </w:rPr>
          <w:t>March 21, 2024 (File No. 333-278141)</w:t>
        </w:r>
      </w:hyperlink>
      <w:r>
        <w:rPr>
          <w:rFonts w:ascii="Times New Roman" w:hAnsi="Times New Roman"/>
          <w:color w:val="000000"/>
          <w:sz w:val="20"/>
        </w:rPr>
        <w:t xml:space="preserve">, and </w:t>
      </w:r>
      <w:hyperlink r:id="rId7">
        <w:r>
          <w:rPr>
            <w:rStyle w:val="InternetLink"/>
            <w:rFonts w:ascii="Times New Roman" w:hAnsi="Times New Roman"/>
            <w:color w:val="0000FF"/>
            <w:sz w:val="20"/>
            <w:u w:val="single"/>
          </w:rPr>
          <w:t>March 24, 2025 (File No. 333-286056)</w:t>
        </w:r>
      </w:hyperlink>
      <w:hyperlink r:id="rId8">
        <w:r>
          <w:rPr>
            <w:rStyle w:val="InternetLink"/>
            <w:rFonts w:ascii="Times New Roman" w:hAnsi="Times New Roman"/>
            <w:color w:val="0000FF"/>
            <w:sz w:val="20"/>
          </w:rPr>
          <w:t xml:space="preserve"> </w:t>
        </w:r>
      </w:hyperlink>
      <w:r>
        <w:rPr>
          <w:rFonts w:ascii="Times New Roman" w:hAnsi="Times New Roman"/>
          <w:color w:val="000000"/>
          <w:sz w:val="20"/>
        </w:rPr>
        <w:t>(the “</w:t>
      </w:r>
      <w:r>
        <w:rPr>
          <w:rFonts w:ascii="Times New Roman" w:hAnsi="Times New Roman"/>
          <w:b/>
          <w:i/>
          <w:color w:val="000000"/>
          <w:sz w:val="20"/>
        </w:rPr>
        <w:t>Prior Form S-8s</w:t>
      </w:r>
      <w:r>
        <w:rPr>
          <w:rFonts w:ascii="Times New Roman" w:hAnsi="Times New Roman"/>
          <w:color w:val="000000"/>
          <w:sz w:val="20"/>
        </w:rPr>
        <w:t>”), and (b) 19,205 shares of Common Stock issuable to eligible persons under the 2021 Employee Stock Purchase Plan, which Common Stock is in addition to the shares of Common Stock registered on the Prior Form S-8s.</w:t>
      </w:r>
    </w:p>
    <w:p>
      <w:pPr>
        <w:pStyle w:val="TextBody"/>
        <w:bidi w:val="0"/>
        <w:spacing w:before="480" w:after="283"/>
        <w:jc w:val="center"/>
        <w:rPr>
          <w:rFonts w:ascii="Times New Roman" w:hAnsi="Times New Roman"/>
          <w:sz w:val="20"/>
        </w:rPr>
      </w:pPr>
      <w:r>
        <w:rPr>
          <w:rFonts w:ascii="Times New Roman" w:hAnsi="Times New Roman"/>
          <w:b/>
          <w:color w:val="000000"/>
          <w:sz w:val="20"/>
        </w:rPr>
        <w:t>PART II</w:t>
      </w:r>
      <w:r>
        <w:rPr>
          <w:rFonts w:ascii="Times New Roman" w:hAnsi="Times New Roman"/>
          <w:color w:val="000000"/>
          <w:sz w:val="20"/>
        </w:rPr>
        <w:t xml:space="preserve"> </w:t>
      </w:r>
    </w:p>
    <w:tbl>
      <w:tblPr>
        <w:tblW w:w="6797" w:type="dxa"/>
        <w:jc w:val="left"/>
        <w:tblInd w:w="0" w:type="dxa"/>
        <w:tblLayout w:type="fixed"/>
        <w:tblCellMar>
          <w:top w:w="28" w:type="dxa"/>
          <w:left w:w="28" w:type="dxa"/>
          <w:bottom w:w="28" w:type="dxa"/>
          <w:right w:w="28" w:type="dxa"/>
        </w:tblCellMar>
      </w:tblPr>
      <w:tblGrid>
        <w:gridCol w:w="841"/>
        <w:gridCol w:w="5956"/>
      </w:tblGrid>
      <w:tr>
        <w:trPr/>
        <w:tc>
          <w:tcPr>
            <w:tcW w:w="841" w:type="dxa"/>
            <w:tcBorders/>
            <w:vAlign w:val="center"/>
          </w:tcPr>
          <w:p>
            <w:pPr>
              <w:pStyle w:val="TableContents"/>
              <w:bidi w:val="0"/>
              <w:spacing w:before="0" w:after="283"/>
              <w:jc w:val="left"/>
              <w:rPr>
                <w:sz w:val="4"/>
                <w:szCs w:val="4"/>
              </w:rPr>
            </w:pPr>
            <w:r>
              <w:rPr>
                <w:sz w:val="4"/>
                <w:szCs w:val="4"/>
              </w:rPr>
            </w:r>
          </w:p>
        </w:tc>
        <w:tc>
          <w:tcPr>
            <w:tcW w:w="5956" w:type="dxa"/>
            <w:tcBorders/>
            <w:vAlign w:val="center"/>
          </w:tcPr>
          <w:p>
            <w:pPr>
              <w:pStyle w:val="TableContents"/>
              <w:bidi w:val="0"/>
              <w:spacing w:before="0" w:after="283"/>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3.</w:t>
            </w:r>
          </w:p>
        </w:tc>
        <w:tc>
          <w:tcPr>
            <w:tcW w:w="59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INCORPORATION OF CERTAIN DOCUMENTS BY REFERENCE</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General Instruction E to Form S-8, the contents of the Prior Form S-8s are incorporated by reference herein.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documents filed by the Registrant with the Commission are incorporated by reference into this Registration Statement:</w:t>
      </w:r>
    </w:p>
    <w:p>
      <w:pPr>
        <w:pStyle w:val="TextBody"/>
        <w:bidi w:val="0"/>
        <w:spacing w:before="120" w:after="283"/>
        <w:jc w:val="left"/>
        <w:rPr/>
      </w:pPr>
      <w:r>
        <w:rPr>
          <w:rFonts w:ascii="Times New Roman" w:hAnsi="Times New Roman"/>
          <w:color w:val="000000"/>
          <w:sz w:val="20"/>
        </w:rPr>
        <w:t xml:space="preserve">(a) The Registrant’s </w:t>
      </w:r>
      <w:hyperlink r:id="rId9">
        <w:r>
          <w:rPr>
            <w:rStyle w:val="InternetLink"/>
            <w:rFonts w:ascii="Times New Roman" w:hAnsi="Times New Roman"/>
            <w:color w:val="0000FF"/>
            <w:sz w:val="20"/>
            <w:u w:val="single"/>
          </w:rPr>
          <w:t>Annual Report on Form 10-K</w:t>
        </w:r>
      </w:hyperlink>
      <w:hyperlink r:id="rId10">
        <w:r>
          <w:rPr>
            <w:rStyle w:val="InternetLink"/>
            <w:rFonts w:ascii="Times New Roman" w:hAnsi="Times New Roman"/>
            <w:color w:val="0000FF"/>
            <w:sz w:val="20"/>
          </w:rPr>
          <w:t xml:space="preserve"> </w:t>
        </w:r>
      </w:hyperlink>
      <w:r>
        <w:rPr>
          <w:rFonts w:ascii="Times New Roman" w:hAnsi="Times New Roman"/>
          <w:color w:val="000000"/>
          <w:sz w:val="20"/>
        </w:rPr>
        <w:t>for the fiscal year ended December 31, 2025 filed on March 12, 2026, which contains audited financial statements for the Registrant’s latest fiscal year.</w:t>
      </w:r>
    </w:p>
    <w:p>
      <w:pPr>
        <w:pStyle w:val="TextBody"/>
        <w:bidi w:val="0"/>
        <w:spacing w:before="120" w:after="283"/>
        <w:jc w:val="left"/>
        <w:rPr/>
      </w:pPr>
      <w:r>
        <w:rPr>
          <w:rFonts w:ascii="Times New Roman" w:hAnsi="Times New Roman"/>
          <w:color w:val="000000"/>
          <w:sz w:val="20"/>
        </w:rPr>
        <w:t xml:space="preserve">(b) The description of the Common Stock which is contained in a registration statement on </w:t>
      </w:r>
      <w:hyperlink r:id="rId11">
        <w:r>
          <w:rPr>
            <w:rStyle w:val="InternetLink"/>
            <w:rFonts w:ascii="Times New Roman" w:hAnsi="Times New Roman"/>
            <w:color w:val="0000FF"/>
            <w:sz w:val="20"/>
            <w:u w:val="single"/>
          </w:rPr>
          <w:t>Form 8-A</w:t>
        </w:r>
      </w:hyperlink>
      <w:r>
        <w:rPr>
          <w:rFonts w:ascii="Times New Roman" w:hAnsi="Times New Roman"/>
          <w:color w:val="000000"/>
          <w:sz w:val="20"/>
        </w:rPr>
        <w:t xml:space="preserve"> filed on February 2, 2021 (File No. 001-39988) under the Securities Exchange Act of 1934, as amended (the “</w:t>
      </w:r>
      <w:r>
        <w:rPr>
          <w:rFonts w:ascii="Times New Roman" w:hAnsi="Times New Roman"/>
          <w:b/>
          <w:i/>
          <w:color w:val="000000"/>
          <w:sz w:val="20"/>
        </w:rPr>
        <w:t>Exchange Act</w:t>
      </w:r>
      <w:r>
        <w:rPr>
          <w:rFonts w:ascii="Times New Roman" w:hAnsi="Times New Roman"/>
          <w:color w:val="000000"/>
          <w:sz w:val="20"/>
        </w:rPr>
        <w:t>”), including any amendment or report filed for the purpose of updating such description.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 </w:t>
      </w:r>
    </w:p>
    <w:p>
      <w:pPr>
        <w:pStyle w:val="TextBody"/>
        <w:bidi w:val="0"/>
        <w:jc w:val="left"/>
        <w:rPr/>
      </w:pPr>
      <w:r>
        <w:rPr/>
        <w:t> </w:t>
      </w:r>
    </w:p>
    <w:tbl>
      <w:tblPr>
        <w:tblW w:w="1982" w:type="dxa"/>
        <w:jc w:val="left"/>
        <w:tblInd w:w="0" w:type="dxa"/>
        <w:tblLayout w:type="fixed"/>
        <w:tblCellMar>
          <w:top w:w="28" w:type="dxa"/>
          <w:left w:w="28" w:type="dxa"/>
          <w:bottom w:w="28" w:type="dxa"/>
          <w:right w:w="28" w:type="dxa"/>
        </w:tblCellMar>
      </w:tblPr>
      <w:tblGrid>
        <w:gridCol w:w="841"/>
        <w:gridCol w:w="1141"/>
      </w:tblGrid>
      <w:tr>
        <w:trPr/>
        <w:tc>
          <w:tcPr>
            <w:tcW w:w="84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w:t>
            </w:r>
          </w:p>
        </w:tc>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EXHIBITS</w:t>
            </w:r>
            <w:r>
              <w:rPr>
                <w:rFonts w:ascii="Times New Roman" w:hAnsi="Times New Roman"/>
                <w:color w:val="000000"/>
                <w:sz w:val="20"/>
              </w:rPr>
              <w:t xml:space="preserve">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5259"/>
        <w:gridCol w:w="146"/>
        <w:gridCol w:w="736"/>
        <w:gridCol w:w="146"/>
        <w:gridCol w:w="1070"/>
        <w:gridCol w:w="146"/>
        <w:gridCol w:w="269"/>
        <w:gridCol w:w="362"/>
        <w:gridCol w:w="146"/>
        <w:gridCol w:w="107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5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5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67" w:type="dxa"/>
            <w:gridSpan w:val="5"/>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36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1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Schedule</w:t>
              <w:br/>
              <w:t>Form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40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581"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59"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Amended and Restated Certificate of Incorporation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001-39988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2/9/2021</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40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581"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59"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Certificate of Amendment to Amended and 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001-39988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6/6/2025</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40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581"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59"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80"/>
                  <w:sz w:val="20"/>
                  <w:u w:val="single"/>
                </w:rPr>
                <w:t>Amended and Restated Bylaws of the Registrant, as currently in effect</w:t>
              </w:r>
            </w:hyperlink>
            <w:r>
              <w:rPr>
                <w:rFonts w:ascii="Times New Roman" w:hAnsi="Times New Roman"/>
                <w:color w:val="0000FF"/>
                <w:sz w:val="20"/>
                <w:u w:val="single"/>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001-39988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4/16/2025</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5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59"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Form of common stock certificate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333-252136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1/15/2021</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40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581"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59" w:type="dxa"/>
            <w:tcBorders/>
            <w:tcMar>
              <w:top w:w="0" w:type="dxa"/>
              <w:left w:w="0" w:type="dxa"/>
              <w:bottom w:w="0" w:type="dxa"/>
              <w:right w:w="0" w:type="dxa"/>
            </w:tcMar>
            <w:vAlign w:val="center"/>
          </w:tcPr>
          <w:p>
            <w:pPr>
              <w:pStyle w:val="TableContents"/>
              <w:bidi w:val="0"/>
              <w:spacing w:before="0" w:after="283"/>
              <w:jc w:val="left"/>
              <w:rPr/>
            </w:pPr>
            <w:hyperlink w:anchor="bolt-ex5_1.htm">
              <w:r>
                <w:rPr>
                  <w:rStyle w:val="InternetLink"/>
                  <w:rFonts w:ascii="Times New Roman" w:hAnsi="Times New Roman"/>
                  <w:color w:val="0000FF"/>
                  <w:sz w:val="20"/>
                  <w:u w:val="single"/>
                </w:rPr>
                <w:t>Opinion of Cooley LLP.</w:t>
              </w:r>
            </w:hyperlink>
            <w:hyperlink w:anchor="bolt-ex5_1.htm">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40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581"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59" w:type="dxa"/>
            <w:tcBorders/>
            <w:tcMar>
              <w:top w:w="0" w:type="dxa"/>
              <w:left w:w="0" w:type="dxa"/>
              <w:bottom w:w="0" w:type="dxa"/>
              <w:right w:w="0" w:type="dxa"/>
            </w:tcMar>
            <w:vAlign w:val="center"/>
          </w:tcPr>
          <w:p>
            <w:pPr>
              <w:pStyle w:val="TableContents"/>
              <w:bidi w:val="0"/>
              <w:spacing w:before="0" w:after="283"/>
              <w:jc w:val="left"/>
              <w:rPr/>
            </w:pPr>
            <w:hyperlink w:anchor="bolt-ex23_1.htm">
              <w:r>
                <w:rPr>
                  <w:rStyle w:val="InternetLink"/>
                  <w:rFonts w:ascii="Times New Roman" w:hAnsi="Times New Roman"/>
                  <w:color w:val="0000FF"/>
                  <w:sz w:val="20"/>
                  <w:u w:val="single"/>
                </w:rPr>
                <w:t>Consent of Independent Registered Public Accounting Firm.</w:t>
              </w:r>
            </w:hyperlink>
            <w:hyperlink w:anchor="bolt-ex23_1.htm">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40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581"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59" w:type="dxa"/>
            <w:tcBorders/>
            <w:tcMar>
              <w:top w:w="0" w:type="dxa"/>
              <w:left w:w="0" w:type="dxa"/>
              <w:bottom w:w="0" w:type="dxa"/>
              <w:right w:w="0" w:type="dxa"/>
            </w:tcMar>
            <w:vAlign w:val="center"/>
          </w:tcPr>
          <w:p>
            <w:pPr>
              <w:pStyle w:val="TableContents"/>
              <w:bidi w:val="0"/>
              <w:spacing w:before="0" w:after="283"/>
              <w:jc w:val="left"/>
              <w:rPr/>
            </w:pPr>
            <w:hyperlink w:anchor="bolt-ex5_1.htm">
              <w:r>
                <w:rPr>
                  <w:rStyle w:val="InternetLink"/>
                  <w:rFonts w:ascii="Times New Roman" w:hAnsi="Times New Roman"/>
                  <w:color w:val="0000FF"/>
                  <w:sz w:val="20"/>
                  <w:u w:val="single"/>
                </w:rPr>
                <w:t>Consent of Cooley LLP (included in Exhibit 5.1).</w:t>
              </w:r>
            </w:hyperlink>
            <w:hyperlink w:anchor="bolt-ex5_1.htm">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40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581"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59" w:type="dxa"/>
            <w:tcBorders/>
            <w:tcMar>
              <w:top w:w="0" w:type="dxa"/>
              <w:left w:w="0" w:type="dxa"/>
              <w:bottom w:w="0" w:type="dxa"/>
              <w:right w:w="0" w:type="dxa"/>
            </w:tcMar>
            <w:vAlign w:val="center"/>
          </w:tcPr>
          <w:p>
            <w:pPr>
              <w:pStyle w:val="TableContents"/>
              <w:bidi w:val="0"/>
              <w:spacing w:before="0" w:after="283"/>
              <w:jc w:val="left"/>
              <w:rPr/>
            </w:pPr>
            <w:hyperlink w:anchor="sig">
              <w:r>
                <w:rPr>
                  <w:rStyle w:val="InternetLink"/>
                  <w:rFonts w:ascii="Times New Roman" w:hAnsi="Times New Roman"/>
                  <w:color w:val="0000FF"/>
                  <w:sz w:val="20"/>
                  <w:u w:val="single"/>
                </w:rPr>
                <w:t>Power of Attorney (see signature page hereto).</w:t>
              </w:r>
            </w:hyperlink>
            <w:hyperlink w:anchor="sig">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40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581"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59"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2021 Equity Incentive Plan.</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333-252136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2/1/2021</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40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581"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59"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EE"/>
                  <w:sz w:val="20"/>
                  <w:u w:val="single"/>
                </w:rPr>
                <w:t>2021 Employee Stock Purchase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333-252136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2/1/2021</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40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581"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59" w:type="dxa"/>
            <w:tcBorders/>
            <w:tcMar>
              <w:top w:w="0" w:type="dxa"/>
              <w:left w:w="0" w:type="dxa"/>
              <w:bottom w:w="0" w:type="dxa"/>
              <w:right w:w="0" w:type="dxa"/>
            </w:tcMar>
            <w:vAlign w:val="center"/>
          </w:tcPr>
          <w:p>
            <w:pPr>
              <w:pStyle w:val="TableContents"/>
              <w:bidi w:val="0"/>
              <w:spacing w:before="0" w:after="283"/>
              <w:jc w:val="left"/>
              <w:rPr/>
            </w:pPr>
            <w:hyperlink w:anchor="bolt_exfilingfees.htm">
              <w:r>
                <w:rPr>
                  <w:rStyle w:val="InternetLink"/>
                  <w:rFonts w:ascii="Times New Roman" w:hAnsi="Times New Roman"/>
                  <w:color w:val="0000FF"/>
                  <w:sz w:val="20"/>
                  <w:u w:val="single"/>
                </w:rPr>
                <w:t>Filing Fee Table.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tbl>
      <w:tblPr>
        <w:tblW w:w="1592" w:type="dxa"/>
        <w:jc w:val="left"/>
        <w:tblInd w:w="0" w:type="dxa"/>
        <w:tblLayout w:type="fixed"/>
        <w:tblCellMar>
          <w:top w:w="28" w:type="dxa"/>
          <w:left w:w="28" w:type="dxa"/>
          <w:bottom w:w="28" w:type="dxa"/>
          <w:right w:w="28" w:type="dxa"/>
        </w:tblCellMar>
      </w:tblPr>
      <w:tblGrid>
        <w:gridCol w:w="226"/>
        <w:gridCol w:w="1366"/>
      </w:tblGrid>
      <w:tr>
        <w:trPr/>
        <w:tc>
          <w:tcPr>
            <w:tcW w:w="2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Filed herewith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Redwood City, State of California, on March 12, 2026. </w:t>
      </w:r>
    </w:p>
    <w:tbl>
      <w:tblPr>
        <w:tblW w:w="5728" w:type="dxa"/>
        <w:jc w:val="left"/>
        <w:tblInd w:w="0" w:type="dxa"/>
        <w:tblLayout w:type="fixed"/>
        <w:tblCellMar>
          <w:top w:w="28" w:type="dxa"/>
          <w:left w:w="28" w:type="dxa"/>
          <w:bottom w:w="28" w:type="dxa"/>
          <w:right w:w="28" w:type="dxa"/>
        </w:tblCellMar>
      </w:tblPr>
      <w:tblGrid>
        <w:gridCol w:w="421"/>
        <w:gridCol w:w="146"/>
        <w:gridCol w:w="5161"/>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6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72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BOLT BIOTHERAPEUTICS,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53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William P. Quinn</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P. Quinn</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 Chief Financial Officer</w:t>
            </w:r>
          </w:p>
        </w:tc>
      </w:tr>
    </w:tbl>
    <w:p>
      <w:pPr>
        <w:pStyle w:val="TextBody"/>
        <w:bidi w:val="0"/>
        <w:spacing w:before="240" w:after="283"/>
        <w:jc w:val="center"/>
        <w:rPr>
          <w:rFonts w:ascii="Times New Roman" w:hAnsi="Times New Roman"/>
          <w:sz w:val="20"/>
        </w:rPr>
      </w:pPr>
      <w:bookmarkStart w:id="2" w:name="sig"/>
      <w:bookmarkEnd w:id="2"/>
      <w:r>
        <w:rPr>
          <w:rFonts w:ascii="Times New Roman" w:hAnsi="Times New Roman"/>
          <w:b/>
          <w:color w:val="000000"/>
          <w:sz w:val="20"/>
        </w:rPr>
        <w:t>POWER OF ATTORNEY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KNOW ALL PERSONS BY THESE PRESENTS, that each person whose signature appears below constitutes and appoints William P. Quinn and Sarah Nemec, and each of them, as his or her true and lawful attorneys-in-fact and agents, each with the full power of substitution, for him or her and in their name, place or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her or their substitute or substitutes, may lawfully do or cause to be done by virtue hereof.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Act, this Registration Statement has been signed by the following persons in the capacities and on the dates indicated. </w:t>
      </w:r>
    </w:p>
    <w:tbl>
      <w:tblPr>
        <w:tblW w:w="8844" w:type="dxa"/>
        <w:jc w:val="left"/>
        <w:tblInd w:w="0" w:type="dxa"/>
        <w:tblLayout w:type="fixed"/>
        <w:tblCellMar>
          <w:top w:w="28" w:type="dxa"/>
          <w:left w:w="28" w:type="dxa"/>
          <w:bottom w:w="28" w:type="dxa"/>
          <w:right w:w="28" w:type="dxa"/>
        </w:tblCellMar>
      </w:tblPr>
      <w:tblGrid>
        <w:gridCol w:w="1996"/>
        <w:gridCol w:w="146"/>
        <w:gridCol w:w="2555"/>
        <w:gridCol w:w="2560"/>
        <w:gridCol w:w="146"/>
        <w:gridCol w:w="144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Signature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2"/>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58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bottom w:val="single" w:sz="4" w:space="0" w:color="000000"/>
            </w:tcBorders>
            <w:tcMar>
              <w:top w:w="0" w:type="dxa"/>
              <w:left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/s/ William P. Quinn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Chief Executive Officer and Chief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12, 2026</w:t>
            </w:r>
          </w:p>
        </w:tc>
      </w:tr>
      <w:tr>
        <w:trPr/>
        <w:tc>
          <w:tcPr>
            <w:tcW w:w="19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William P. Quinn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and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58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bottom w:val="single" w:sz="4" w:space="0" w:color="000000"/>
            </w:tcBorders>
            <w:tcMar>
              <w:top w:w="0" w:type="dxa"/>
              <w:left w:w="0" w:type="dxa"/>
              <w:right w:w="0" w:type="dxa"/>
            </w:tcMar>
            <w:vAlign w:val="center"/>
          </w:tcPr>
          <w:p>
            <w:pPr>
              <w:pStyle w:val="TableContents"/>
              <w:bidi w:val="0"/>
              <w:spacing w:before="240" w:after="20"/>
              <w:jc w:val="center"/>
              <w:rPr>
                <w:rFonts w:ascii="Times New Roman" w:hAnsi="Times New Roman"/>
                <w:color w:val="000000"/>
                <w:sz w:val="20"/>
              </w:rPr>
            </w:pPr>
            <w:r>
              <w:rPr>
                <w:rFonts w:ascii="Times New Roman" w:hAnsi="Times New Roman"/>
                <w:color w:val="000000"/>
                <w:sz w:val="20"/>
              </w:rPr>
              <w:t>/s/ Sarah Nemec</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Senior Vice President, Finance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12, 2026</w:t>
            </w:r>
          </w:p>
        </w:tc>
      </w:tr>
      <w:tr>
        <w:trPr/>
        <w:tc>
          <w:tcPr>
            <w:tcW w:w="19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Sarah Nemec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58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bottom w:val="single" w:sz="4" w:space="0" w:color="000000"/>
            </w:tcBorders>
            <w:tcMar>
              <w:top w:w="0" w:type="dxa"/>
              <w:left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/s/ Brian O’Callaghan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1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12, 2026</w:t>
            </w:r>
          </w:p>
        </w:tc>
      </w:tr>
      <w:tr>
        <w:trPr/>
        <w:tc>
          <w:tcPr>
            <w:tcW w:w="19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Brian O’Callaghan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5"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tcMar>
              <w:top w:w="0" w:type="dxa"/>
              <w:left w:w="0" w:type="dxa"/>
              <w:bottom w:w="0" w:type="dxa"/>
              <w:right w:w="0" w:type="dxa"/>
            </w:tcMar>
            <w:vAlign w:val="center"/>
          </w:tcPr>
          <w:p>
            <w:pPr>
              <w:pStyle w:val="TableContents"/>
              <w:bidi w:val="0"/>
              <w:spacing w:before="0" w:after="20"/>
              <w:jc w:val="left"/>
              <w:rPr/>
            </w:pPr>
            <w:r>
              <w:rPr/>
              <w:t> </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5115"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bottom w:val="single" w:sz="4" w:space="0" w:color="000000"/>
            </w:tcBorders>
            <w:tcMar>
              <w:top w:w="0" w:type="dxa"/>
              <w:left w:w="0" w:type="dxa"/>
              <w:right w:w="0" w:type="dxa"/>
            </w:tcMar>
            <w:vAlign w:val="center"/>
          </w:tcPr>
          <w:p>
            <w:pPr>
              <w:pStyle w:val="TableContents"/>
              <w:bidi w:val="0"/>
              <w:spacing w:before="240" w:after="20"/>
              <w:jc w:val="center"/>
              <w:rPr>
                <w:rFonts w:ascii="Times New Roman" w:hAnsi="Times New Roman"/>
                <w:color w:val="000000"/>
                <w:sz w:val="20"/>
              </w:rPr>
            </w:pPr>
            <w:r>
              <w:rPr>
                <w:rFonts w:ascii="Times New Roman" w:hAnsi="Times New Roman"/>
                <w:color w:val="000000"/>
                <w:sz w:val="20"/>
              </w:rPr>
              <w:t>/s/ Laura Berner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12, 2026</w:t>
            </w:r>
          </w:p>
        </w:tc>
      </w:tr>
      <w:tr>
        <w:trPr/>
        <w:tc>
          <w:tcPr>
            <w:tcW w:w="19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Laura Berner</w:t>
            </w:r>
          </w:p>
        </w:tc>
        <w:tc>
          <w:tcPr>
            <w:tcW w:w="2701"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147"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2701"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147"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bottom w:val="single" w:sz="4" w:space="0" w:color="000000"/>
            </w:tcBorders>
            <w:tcMar>
              <w:top w:w="0" w:type="dxa"/>
              <w:left w:w="0" w:type="dxa"/>
              <w:right w:w="0" w:type="dxa"/>
            </w:tcMar>
            <w:vAlign w:val="center"/>
          </w:tcPr>
          <w:p>
            <w:pPr>
              <w:pStyle w:val="TableContents"/>
              <w:bidi w:val="0"/>
              <w:spacing w:before="240" w:after="20"/>
              <w:jc w:val="center"/>
              <w:rPr>
                <w:rFonts w:ascii="Times New Roman" w:hAnsi="Times New Roman"/>
                <w:color w:val="000000"/>
                <w:sz w:val="20"/>
              </w:rPr>
            </w:pPr>
            <w:r>
              <w:rPr>
                <w:rFonts w:ascii="Times New Roman" w:hAnsi="Times New Roman"/>
                <w:color w:val="000000"/>
                <w:sz w:val="20"/>
              </w:rPr>
              <w:t>/s/ Jakob Dupont, M.D.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12, 2026</w:t>
            </w:r>
          </w:p>
        </w:tc>
      </w:tr>
      <w:tr>
        <w:trPr/>
        <w:tc>
          <w:tcPr>
            <w:tcW w:w="19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Jakob Dupont, M.D.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58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58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bottom w:val="single" w:sz="4" w:space="0" w:color="000000"/>
            </w:tcBorders>
            <w:tcMar>
              <w:top w:w="0" w:type="dxa"/>
              <w:left w:w="0" w:type="dxa"/>
              <w:right w:w="0" w:type="dxa"/>
            </w:tcMar>
            <w:vAlign w:val="center"/>
          </w:tcPr>
          <w:p>
            <w:pPr>
              <w:pStyle w:val="TableContents"/>
              <w:bidi w:val="0"/>
              <w:spacing w:before="240" w:after="20"/>
              <w:jc w:val="center"/>
              <w:rPr>
                <w:rFonts w:ascii="Times New Roman" w:hAnsi="Times New Roman"/>
                <w:color w:val="000000"/>
                <w:sz w:val="20"/>
              </w:rPr>
            </w:pPr>
            <w:r>
              <w:rPr>
                <w:rFonts w:ascii="Times New Roman" w:hAnsi="Times New Roman"/>
                <w:color w:val="000000"/>
                <w:sz w:val="20"/>
              </w:rPr>
              <w:t>/s/ Kathleen LaPorte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12, 2026</w:t>
            </w:r>
          </w:p>
        </w:tc>
      </w:tr>
      <w:tr>
        <w:trPr/>
        <w:tc>
          <w:tcPr>
            <w:tcW w:w="19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Kathleen LaPorte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58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bottom w:val="single" w:sz="4" w:space="0" w:color="000000"/>
            </w:tcBorders>
            <w:tcMar>
              <w:top w:w="0" w:type="dxa"/>
              <w:left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/s/ Nicole Onetto, M.D.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1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12, 2026</w:t>
            </w:r>
          </w:p>
        </w:tc>
      </w:tr>
      <w:tr>
        <w:trPr/>
        <w:tc>
          <w:tcPr>
            <w:tcW w:w="19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Nicole Onetto, M.D.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58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720"/>
        <w:jc w:val="left"/>
        <w:rPr/>
      </w:pPr>
      <w:bookmarkStart w:id="3" w:name="bolt-ex5_1.htm"/>
      <w:bookmarkStart w:id="4" w:name="ksboltex5_1"/>
      <w:bookmarkEnd w:id="3"/>
      <w:bookmarkEnd w:id="4"/>
      <w:r>
        <w:rPr/>
        <w:drawing>
          <wp:inline distT="0" distB="0" distL="0" distR="0">
            <wp:extent cx="12954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8"/>
                    <a:stretch>
                      <a:fillRect/>
                    </a:stretch>
                  </pic:blipFill>
                  <pic:spPr bwMode="auto">
                    <a:xfrm>
                      <a:off x="0" y="0"/>
                      <a:ext cx="1295400" cy="419100"/>
                    </a:xfrm>
                    <a:prstGeom prst="rect">
                      <a:avLst/>
                    </a:prstGeom>
                  </pic:spPr>
                </pic:pic>
              </a:graphicData>
            </a:graphic>
          </wp:inline>
        </w:drawing>
      </w:r>
      <w:r>
        <w:br w:type="page"/>
      </w:r>
    </w:p>
    <w:tbl>
      <w:tblPr>
        <w:tblW w:w="2508" w:type="dxa"/>
        <w:jc w:val="left"/>
        <w:tblInd w:w="0" w:type="dxa"/>
        <w:tblLayout w:type="fixed"/>
        <w:tblCellMar>
          <w:top w:w="28" w:type="dxa"/>
          <w:left w:w="28" w:type="dxa"/>
          <w:bottom w:w="28" w:type="dxa"/>
          <w:right w:w="28" w:type="dxa"/>
        </w:tblCellMar>
      </w:tblPr>
      <w:tblGrid>
        <w:gridCol w:w="2269"/>
        <w:gridCol w:w="239"/>
      </w:tblGrid>
      <w:tr>
        <w:trPr/>
        <w:tc>
          <w:tcPr>
            <w:tcW w:w="226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ind w:left="0" w:right="0" w:firstLine="108"/>
              <w:jc w:val="left"/>
              <w:rPr>
                <w:sz w:val="4"/>
                <w:szCs w:val="4"/>
              </w:rPr>
            </w:pPr>
            <w:r>
              <w:rPr>
                <w:sz w:val="4"/>
                <w:szCs w:val="4"/>
              </w:rPr>
            </w:r>
          </w:p>
        </w:tc>
      </w:tr>
      <w:tr>
        <w:trPr/>
        <w:tc>
          <w:tcPr>
            <w:tcW w:w="2269" w:type="dxa"/>
            <w:tcBorders/>
            <w:tcMar>
              <w:top w:w="0" w:type="dxa"/>
              <w:left w:w="0" w:type="dxa"/>
              <w:bottom w:w="0" w:type="dxa"/>
              <w:right w:w="0" w:type="dxa"/>
            </w:tcMar>
            <w:vAlign w:val="center"/>
          </w:tcPr>
          <w:p>
            <w:pPr>
              <w:pStyle w:val="TableContents"/>
              <w:bidi w:val="0"/>
              <w:ind w:left="0" w:right="0" w:firstLine="108"/>
              <w:jc w:val="left"/>
              <w:rPr/>
            </w:pPr>
            <w:r>
              <w:rPr/>
              <w:t> </w:t>
            </w:r>
          </w:p>
          <w:p>
            <w:pPr>
              <w:pStyle w:val="TableContents"/>
              <w:bidi w:val="0"/>
              <w:ind w:left="0" w:right="0" w:firstLine="108"/>
              <w:jc w:val="left"/>
              <w:rPr>
                <w:rFonts w:ascii="Arial" w:hAnsi="Arial"/>
                <w:color w:val="000000"/>
                <w:sz w:val="20"/>
              </w:rPr>
            </w:pPr>
            <w:r>
              <w:rPr>
                <w:rFonts w:ascii="Arial" w:hAnsi="Arial"/>
                <w:color w:val="000000"/>
                <w:sz w:val="20"/>
              </w:rPr>
              <w:t>John T. McKenna</w:t>
            </w:r>
          </w:p>
          <w:p>
            <w:pPr>
              <w:pStyle w:val="TableContents"/>
              <w:bidi w:val="0"/>
              <w:ind w:left="0" w:right="0" w:firstLine="108"/>
              <w:jc w:val="left"/>
              <w:rPr>
                <w:rFonts w:ascii="Arial" w:hAnsi="Arial"/>
                <w:color w:val="000000"/>
                <w:sz w:val="20"/>
              </w:rPr>
            </w:pPr>
            <w:r>
              <w:rPr>
                <w:rFonts w:ascii="Arial" w:hAnsi="Arial"/>
                <w:color w:val="000000"/>
                <w:sz w:val="20"/>
              </w:rPr>
              <w:t>+1 650 843 5059</w:t>
            </w:r>
          </w:p>
          <w:p>
            <w:pPr>
              <w:pStyle w:val="TableContents"/>
              <w:bidi w:val="0"/>
              <w:ind w:left="0" w:right="0" w:firstLine="108"/>
              <w:jc w:val="left"/>
              <w:rPr>
                <w:rFonts w:ascii="Arial" w:hAnsi="Arial"/>
                <w:color w:val="000000"/>
                <w:sz w:val="20"/>
              </w:rPr>
            </w:pPr>
            <w:r>
              <w:rPr>
                <w:rFonts w:ascii="Arial" w:hAnsi="Arial"/>
                <w:color w:val="000000"/>
                <w:sz w:val="20"/>
              </w:rPr>
              <w:t>jmckenna@cooley.com</w:t>
            </w:r>
          </w:p>
          <w:p>
            <w:pPr>
              <w:pStyle w:val="TableContents"/>
              <w:bidi w:val="0"/>
              <w:spacing w:before="0" w:after="283"/>
              <w:ind w:left="0" w:right="0" w:firstLine="108"/>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Arial" w:hAnsi="Arial"/>
          <w:color w:val="000000"/>
          <w:sz w:val="20"/>
        </w:rPr>
        <w:t>March 12, 2026</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Bolt Biotherapeutics, Inc.</w:t>
      </w:r>
    </w:p>
    <w:p>
      <w:pPr>
        <w:pStyle w:val="TextBody"/>
        <w:bidi w:val="0"/>
        <w:jc w:val="left"/>
        <w:rPr>
          <w:rFonts w:ascii="Arial" w:hAnsi="Arial"/>
          <w:color w:val="000000"/>
          <w:sz w:val="20"/>
        </w:rPr>
      </w:pPr>
      <w:r>
        <w:rPr>
          <w:rFonts w:ascii="Arial" w:hAnsi="Arial"/>
          <w:color w:val="000000"/>
          <w:sz w:val="20"/>
        </w:rPr>
        <w:t>900 Chesapeake Drive</w:t>
      </w:r>
    </w:p>
    <w:p>
      <w:pPr>
        <w:pStyle w:val="TextBody"/>
        <w:bidi w:val="0"/>
        <w:jc w:val="left"/>
        <w:rPr>
          <w:rFonts w:ascii="Arial" w:hAnsi="Arial"/>
          <w:color w:val="000000"/>
          <w:sz w:val="20"/>
        </w:rPr>
      </w:pPr>
      <w:r>
        <w:rPr>
          <w:rFonts w:ascii="Arial" w:hAnsi="Arial"/>
          <w:color w:val="000000"/>
          <w:sz w:val="20"/>
        </w:rPr>
        <w:t>Redwood City, CA 94063</w:t>
      </w:r>
    </w:p>
    <w:p>
      <w:pPr>
        <w:pStyle w:val="TextBody"/>
        <w:bidi w:val="0"/>
        <w:spacing w:before="240" w:after="283"/>
        <w:jc w:val="left"/>
        <w:rPr>
          <w:rFonts w:ascii="Times New Roman" w:hAnsi="Times New Roman"/>
          <w:sz w:val="20"/>
        </w:rPr>
      </w:pPr>
      <w:r>
        <w:rPr>
          <w:rFonts w:ascii="Arial" w:hAnsi="Arial"/>
          <w:color w:val="000000"/>
          <w:sz w:val="20"/>
        </w:rPr>
        <w:t>Ladies and Gentlemen: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have acted as counsel to Bolt Biotherapeutics, Inc., a Delaware corporation (the “</w:t>
      </w:r>
      <w:r>
        <w:rPr>
          <w:rFonts w:ascii="Arial" w:hAnsi="Arial"/>
          <w:b/>
          <w:i/>
          <w:color w:val="000000"/>
          <w:sz w:val="20"/>
        </w:rPr>
        <w:t>Company</w:t>
      </w:r>
      <w:r>
        <w:rPr>
          <w:rFonts w:ascii="Times New Roman" w:hAnsi="Times New Roman"/>
          <w:color w:val="000000"/>
          <w:sz w:val="20"/>
        </w:rPr>
        <w:t>”</w:t>
      </w:r>
      <w:r>
        <w:rPr>
          <w:rFonts w:ascii="Arial" w:hAnsi="Arial"/>
          <w:color w:val="000000"/>
          <w:sz w:val="20"/>
        </w:rPr>
        <w:t>), in connection with the filing of a registration statement on Form S-8 (the “</w:t>
      </w:r>
      <w:r>
        <w:rPr>
          <w:rFonts w:ascii="Arial" w:hAnsi="Arial"/>
          <w:b/>
          <w:i/>
          <w:color w:val="000000"/>
          <w:sz w:val="20"/>
        </w:rPr>
        <w:t>Registration Statement</w:t>
      </w:r>
      <w:r>
        <w:rPr>
          <w:rFonts w:ascii="Times New Roman" w:hAnsi="Times New Roman"/>
          <w:color w:val="000000"/>
          <w:sz w:val="20"/>
        </w:rPr>
        <w:t>”</w:t>
      </w:r>
      <w:r>
        <w:rPr>
          <w:rFonts w:ascii="Arial" w:hAnsi="Arial"/>
          <w:color w:val="000000"/>
          <w:sz w:val="20"/>
        </w:rPr>
        <w:t>) with the Securities and Exchange Commission (the “</w:t>
      </w:r>
      <w:r>
        <w:rPr>
          <w:rFonts w:ascii="Arial" w:hAnsi="Arial"/>
          <w:b/>
          <w:i/>
          <w:color w:val="000000"/>
          <w:sz w:val="20"/>
        </w:rPr>
        <w:t>Commission</w:t>
      </w:r>
      <w:r>
        <w:rPr>
          <w:rFonts w:ascii="Times New Roman" w:hAnsi="Times New Roman"/>
          <w:color w:val="000000"/>
          <w:sz w:val="20"/>
        </w:rPr>
        <w:t>”</w:t>
      </w:r>
      <w:r>
        <w:rPr>
          <w:rFonts w:ascii="Arial" w:hAnsi="Arial"/>
          <w:color w:val="000000"/>
          <w:sz w:val="20"/>
        </w:rPr>
        <w:t>) covering the offering of up to an aggregate of 115,233 shares (the “</w:t>
      </w:r>
      <w:r>
        <w:rPr>
          <w:rFonts w:ascii="Arial" w:hAnsi="Arial"/>
          <w:b/>
          <w:i/>
          <w:color w:val="000000"/>
          <w:sz w:val="20"/>
        </w:rPr>
        <w:t>Shares</w:t>
      </w:r>
      <w:r>
        <w:rPr>
          <w:rFonts w:ascii="Times New Roman" w:hAnsi="Times New Roman"/>
          <w:color w:val="000000"/>
          <w:sz w:val="20"/>
        </w:rPr>
        <w:t>”</w:t>
      </w:r>
      <w:r>
        <w:rPr>
          <w:rFonts w:ascii="Arial" w:hAnsi="Arial"/>
          <w:color w:val="000000"/>
          <w:sz w:val="20"/>
        </w:rPr>
        <w:t>) of the Company’s Common Stock, par value $0.00001 per share (“</w:t>
      </w:r>
      <w:r>
        <w:rPr>
          <w:rFonts w:ascii="Arial" w:hAnsi="Arial"/>
          <w:b/>
          <w:i/>
          <w:color w:val="000000"/>
          <w:sz w:val="20"/>
        </w:rPr>
        <w:t>Common Stock</w:t>
      </w:r>
      <w:r>
        <w:rPr>
          <w:rFonts w:ascii="Times New Roman" w:hAnsi="Times New Roman"/>
          <w:color w:val="000000"/>
          <w:sz w:val="20"/>
        </w:rPr>
        <w:t>”</w:t>
      </w:r>
      <w:r>
        <w:rPr>
          <w:rFonts w:ascii="Arial" w:hAnsi="Arial"/>
          <w:color w:val="000000"/>
          <w:sz w:val="20"/>
        </w:rPr>
        <w:t>), consisting of (a) 19,205 shares of Common Stock issuable pursuant to the Company’s 2021 Employee Stock Purchase Plan (the “</w:t>
      </w:r>
      <w:r>
        <w:rPr>
          <w:rFonts w:ascii="Arial" w:hAnsi="Arial"/>
          <w:b/>
          <w:i/>
          <w:color w:val="000000"/>
          <w:sz w:val="20"/>
        </w:rPr>
        <w:t>2021 ESPP</w:t>
      </w:r>
      <w:r>
        <w:rPr>
          <w:rFonts w:ascii="Times New Roman" w:hAnsi="Times New Roman"/>
          <w:color w:val="000000"/>
          <w:sz w:val="20"/>
        </w:rPr>
        <w:t>”</w:t>
      </w:r>
      <w:r>
        <w:rPr>
          <w:rFonts w:ascii="Arial" w:hAnsi="Arial"/>
          <w:color w:val="000000"/>
          <w:sz w:val="20"/>
        </w:rPr>
        <w:t>) and (b) 96,028 shares of Common Stock issuable pursuant to the Company’s 2021 Equity Incentive Plan (together with the 2021 ESPP, the “</w:t>
      </w:r>
      <w:r>
        <w:rPr>
          <w:rFonts w:ascii="Arial" w:hAnsi="Arial"/>
          <w:b/>
          <w:i/>
          <w:color w:val="000000"/>
          <w:sz w:val="20"/>
        </w:rPr>
        <w:t>Plans</w:t>
      </w:r>
      <w:r>
        <w:rPr>
          <w:rFonts w:ascii="Times New Roman" w:hAnsi="Times New Roman"/>
          <w:color w:val="000000"/>
          <w:sz w:val="20"/>
        </w:rPr>
        <w:t>”</w:t>
      </w:r>
      <w:r>
        <w:rPr>
          <w:rFonts w:ascii="Arial" w:hAnsi="Arial"/>
          <w:color w:val="000000"/>
          <w:sz w:val="20"/>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connection with this opinion, we have examined and relied upon (a) the Registration Statement and related prospectuses, (b) the Plans, (c) the Company’s certificate of incorporation and bylaws, each as currently in effect,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Arial" w:hAnsi="Arial"/>
          <w:color w:val="000000"/>
          <w:sz w:val="20"/>
        </w:rPr>
        <w:t>On the basis of the foregoing, and in reliance thereon, we are of the opinion that the Shares, when sold and issued in accordance with the Plans, the Registration Statement and the related prospectuses, will be validly issued, fully paid, and nonassessable (except as to Shares issued pursuant to deferred payment arrangements, which will be fully paid and nonassessable when such deferred payments are made in full).</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0"/>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720"/>
        <w:jc w:val="left"/>
        <w:rPr/>
      </w:pPr>
      <w:r>
        <w:rPr/>
        <w:drawing>
          <wp:inline distT="0" distB="0" distL="0" distR="0">
            <wp:extent cx="1295400"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9"/>
                    <a:stretch>
                      <a:fillRect/>
                    </a:stretch>
                  </pic:blipFill>
                  <pic:spPr bwMode="auto">
                    <a:xfrm>
                      <a:off x="0" y="0"/>
                      <a:ext cx="1295400" cy="419100"/>
                    </a:xfrm>
                    <a:prstGeom prst="rect">
                      <a:avLst/>
                    </a:prstGeom>
                  </pic:spPr>
                </pic:pic>
              </a:graphicData>
            </a:graphic>
          </wp:inline>
        </w:drawing>
      </w:r>
    </w:p>
    <w:tbl>
      <w:tblPr>
        <w:tblW w:w="2683" w:type="dxa"/>
        <w:jc w:val="left"/>
        <w:tblInd w:w="0" w:type="dxa"/>
        <w:tblLayout w:type="fixed"/>
        <w:tblCellMar>
          <w:top w:w="28" w:type="dxa"/>
          <w:left w:w="28" w:type="dxa"/>
          <w:bottom w:w="28" w:type="dxa"/>
          <w:right w:w="28" w:type="dxa"/>
        </w:tblCellMar>
      </w:tblPr>
      <w:tblGrid>
        <w:gridCol w:w="2439"/>
        <w:gridCol w:w="244"/>
      </w:tblGrid>
      <w:tr>
        <w:trPr/>
        <w:tc>
          <w:tcPr>
            <w:tcW w:w="243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ind w:left="0" w:right="0" w:firstLine="113"/>
              <w:jc w:val="left"/>
              <w:rPr>
                <w:sz w:val="4"/>
                <w:szCs w:val="4"/>
              </w:rPr>
            </w:pPr>
            <w:r>
              <w:rPr>
                <w:sz w:val="4"/>
                <w:szCs w:val="4"/>
              </w:rPr>
            </w:r>
          </w:p>
        </w:tc>
      </w:tr>
      <w:tr>
        <w:trPr/>
        <w:tc>
          <w:tcPr>
            <w:tcW w:w="2439" w:type="dxa"/>
            <w:tcBorders/>
            <w:tcMar>
              <w:top w:w="0" w:type="dxa"/>
              <w:left w:w="0" w:type="dxa"/>
              <w:bottom w:w="0" w:type="dxa"/>
              <w:right w:w="0" w:type="dxa"/>
            </w:tcMar>
            <w:vAlign w:val="center"/>
          </w:tcPr>
          <w:p>
            <w:pPr>
              <w:pStyle w:val="TableContents"/>
              <w:bidi w:val="0"/>
              <w:ind w:left="0" w:right="0" w:firstLine="113"/>
              <w:jc w:val="left"/>
              <w:rPr>
                <w:rFonts w:ascii="Arial" w:hAnsi="Arial"/>
                <w:color w:val="000000"/>
                <w:sz w:val="20"/>
              </w:rPr>
            </w:pPr>
            <w:r>
              <w:rPr>
                <w:rFonts w:ascii="Arial" w:hAnsi="Arial"/>
                <w:color w:val="000000"/>
                <w:sz w:val="20"/>
              </w:rPr>
              <w:t>Bolt Biotherapeutics, Inc.</w:t>
            </w:r>
          </w:p>
          <w:p>
            <w:pPr>
              <w:pStyle w:val="TableContents"/>
              <w:bidi w:val="0"/>
              <w:ind w:left="0" w:right="0" w:firstLine="113"/>
              <w:jc w:val="left"/>
              <w:rPr>
                <w:rFonts w:ascii="Times New Roman" w:hAnsi="Times New Roman"/>
                <w:sz w:val="20"/>
              </w:rPr>
            </w:pPr>
            <w:r>
              <w:rPr>
                <w:rFonts w:ascii="Arial" w:hAnsi="Arial"/>
                <w:color w:val="000000"/>
                <w:sz w:val="20"/>
              </w:rPr>
              <w:t>March 12, 2026</w:t>
            </w:r>
            <w:r>
              <w:rPr>
                <w:rFonts w:ascii="Times New Roman" w:hAnsi="Times New Roman"/>
                <w:color w:val="000000"/>
                <w:sz w:val="20"/>
              </w:rPr>
              <w:t xml:space="preserve"> </w:t>
            </w:r>
          </w:p>
          <w:p>
            <w:pPr>
              <w:pStyle w:val="TableContents"/>
              <w:bidi w:val="0"/>
              <w:spacing w:before="0" w:after="283"/>
              <w:ind w:left="0" w:right="0" w:firstLine="113"/>
              <w:jc w:val="left"/>
              <w:rPr>
                <w:rFonts w:ascii="Arial" w:hAnsi="Arial"/>
                <w:color w:val="000000"/>
                <w:sz w:val="20"/>
              </w:rPr>
            </w:pPr>
            <w:r>
              <w:rPr>
                <w:rFonts w:ascii="Arial" w:hAnsi="Arial"/>
                <w:color w:val="000000"/>
                <w:sz w:val="20"/>
              </w:rPr>
              <w:t>Page 2</w:t>
            </w:r>
          </w:p>
        </w:tc>
        <w:tc>
          <w:tcPr>
            <w:tcW w:w="244"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720"/>
        <w:jc w:val="center"/>
        <w:rPr/>
      </w:pPr>
      <w:r>
        <w:rPr/>
        <w:t> </w:t>
      </w:r>
    </w:p>
    <w:p>
      <w:pPr>
        <w:pStyle w:val="TextBody"/>
        <w:bidi w:val="0"/>
        <w:spacing w:before="0" w:after="240"/>
        <w:jc w:val="both"/>
        <w:rPr>
          <w:rFonts w:ascii="Arial" w:hAnsi="Arial"/>
          <w:color w:val="000000"/>
          <w:sz w:val="20"/>
        </w:rPr>
      </w:pPr>
      <w:r>
        <w:rPr>
          <w:rFonts w:ascii="Arial" w:hAnsi="Arial"/>
          <w:color w:val="000000"/>
          <w:sz w:val="20"/>
        </w:rPr>
        <w:t>Sincerely,</w:t>
      </w:r>
    </w:p>
    <w:p>
      <w:pPr>
        <w:pStyle w:val="TextBody"/>
        <w:bidi w:val="0"/>
        <w:spacing w:before="0" w:after="240"/>
        <w:jc w:val="both"/>
        <w:rPr>
          <w:rFonts w:ascii="Arial" w:hAnsi="Arial"/>
          <w:b/>
          <w:smallCaps/>
          <w:color w:val="000000"/>
          <w:sz w:val="20"/>
        </w:rPr>
      </w:pPr>
      <w:r>
        <w:rPr>
          <w:rFonts w:ascii="Arial" w:hAnsi="Arial"/>
          <w:b/>
          <w:smallCaps/>
          <w:color w:val="000000"/>
          <w:sz w:val="20"/>
        </w:rPr>
        <w:t>Cooley LLP</w:t>
      </w:r>
    </w:p>
    <w:p>
      <w:pPr>
        <w:pStyle w:val="TextBody"/>
        <w:bidi w:val="0"/>
        <w:spacing w:before="0" w:after="240"/>
        <w:jc w:val="both"/>
        <w:rPr/>
      </w:pPr>
      <w:r>
        <w:rPr/>
        <w:t> </w:t>
      </w:r>
    </w:p>
    <w:p>
      <w:pPr>
        <w:pStyle w:val="TextBody"/>
        <w:bidi w:val="0"/>
        <w:jc w:val="both"/>
        <w:rPr>
          <w:rFonts w:ascii="Times New Roman" w:hAnsi="Times New Roman"/>
          <w:sz w:val="20"/>
        </w:rPr>
      </w:pPr>
      <w:r>
        <w:rPr>
          <w:rFonts w:ascii="Arial" w:hAnsi="Arial"/>
          <w:color w:val="000000"/>
          <w:sz w:val="20"/>
        </w:rPr>
        <w:t>By:</w:t>
      </w:r>
      <w:r>
        <w:rPr>
          <w:rFonts w:ascii="Times New Roman" w:hAnsi="Times New Roman"/>
          <w:color w:val="000000"/>
          <w:sz w:val="20"/>
          <w:u w:val="single"/>
        </w:rPr>
        <w:t xml:space="preserve"> </w:t>
      </w:r>
      <w:r>
        <w:rPr>
          <w:rFonts w:ascii="Arial" w:hAnsi="Arial"/>
          <w:color w:val="000000"/>
          <w:sz w:val="20"/>
          <w:u w:val="single"/>
        </w:rPr>
        <w:t xml:space="preserve">/s/ John T. McKenna </w:t>
      </w:r>
    </w:p>
    <w:p>
      <w:pPr>
        <w:pStyle w:val="TextBody"/>
        <w:bidi w:val="0"/>
        <w:jc w:val="both"/>
        <w:rPr>
          <w:rFonts w:ascii="Arial" w:hAnsi="Arial"/>
          <w:color w:val="000000"/>
          <w:sz w:val="20"/>
        </w:rPr>
      </w:pPr>
      <w:r>
        <w:rPr>
          <w:rFonts w:ascii="Arial" w:hAnsi="Arial"/>
          <w:color w:val="000000"/>
          <w:sz w:val="20"/>
        </w:rPr>
        <w:t>John T. McKenna</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 w:name="bolt-ex23_1.htm"/>
      <w:bookmarkStart w:id="6" w:name="ksboltex23_1"/>
      <w:bookmarkEnd w:id="5"/>
      <w:bookmarkEnd w:id="6"/>
      <w:r>
        <w:rPr/>
        <w:t> </w:t>
      </w:r>
      <w:r>
        <w:br w:type="page"/>
      </w:r>
    </w:p>
    <w:p>
      <w:pPr>
        <w:pStyle w:val="TextBody"/>
        <w:bidi w:val="0"/>
        <w:spacing w:before="480" w:after="480"/>
        <w:jc w:val="right"/>
        <w:rPr>
          <w:rFonts w:ascii="Times New Roman" w:hAnsi="Times New Roman"/>
          <w:b/>
          <w:color w:val="000000"/>
          <w:sz w:val="16"/>
        </w:rPr>
      </w:pPr>
      <w:r>
        <w:rPr>
          <w:rFonts w:ascii="Times New Roman" w:hAnsi="Times New Roman"/>
          <w:b/>
          <w:color w:val="000000"/>
          <w:sz w:val="16"/>
        </w:rPr>
        <w:t>Exhibit 23.1</w:t>
      </w:r>
    </w:p>
    <w:p>
      <w:pPr>
        <w:pStyle w:val="TextBody"/>
        <w:bidi w:val="0"/>
        <w:spacing w:before="0" w:after="480"/>
        <w:jc w:val="center"/>
        <w:rPr>
          <w:rFonts w:ascii="Georgia;serif" w:hAnsi="Georgia;serif"/>
          <w:color w:val="000000"/>
          <w:sz w:val="20"/>
        </w:rPr>
      </w:pPr>
      <w:r>
        <w:rPr>
          <w:rFonts w:ascii="Georgia;serif" w:hAnsi="Georgia;serif"/>
          <w:color w:val="000000"/>
          <w:sz w:val="20"/>
        </w:rPr>
        <w:t>CONSENT OF INDEPENDENT REGISTERED PUBLIC ACCOUNTING FIRM</w:t>
      </w:r>
    </w:p>
    <w:p>
      <w:pPr>
        <w:pStyle w:val="TextBody"/>
        <w:bidi w:val="0"/>
        <w:spacing w:before="0" w:after="120"/>
        <w:jc w:val="left"/>
        <w:rPr>
          <w:rFonts w:ascii="Times New Roman" w:hAnsi="Times New Roman"/>
          <w:sz w:val="20"/>
        </w:rPr>
      </w:pPr>
      <w:r>
        <w:rPr>
          <w:rFonts w:ascii="Georgia;serif" w:hAnsi="Georgia;serif"/>
          <w:color w:val="000000"/>
          <w:sz w:val="20"/>
        </w:rPr>
        <w:t>We hereby consent to the incorporation by reference in this Registration Statement on Form S-8 of Bolt Biotherapeutics, Inc. of our report dated March 12, 2026</w:t>
      </w:r>
      <w:r>
        <w:rPr>
          <w:rFonts w:ascii="Times New Roman" w:hAnsi="Times New Roman"/>
          <w:color w:val="000000"/>
          <w:sz w:val="20"/>
        </w:rPr>
        <w:t xml:space="preserve"> </w:t>
      </w:r>
      <w:r>
        <w:rPr>
          <w:rFonts w:ascii="Georgia;serif" w:hAnsi="Georgia;serif"/>
          <w:color w:val="000000"/>
          <w:sz w:val="20"/>
        </w:rPr>
        <w:t>relating to the financial statements, which appears in Bolt Biotherapeutic, Inc.'s Annual Report on Form 10-K for the year ended December 31, 2025.</w:t>
      </w:r>
    </w:p>
    <w:p>
      <w:pPr>
        <w:pStyle w:val="TextBody"/>
        <w:bidi w:val="0"/>
        <w:spacing w:before="120" w:after="283"/>
        <w:jc w:val="left"/>
        <w:rPr>
          <w:rFonts w:ascii="Georgia;serif" w:hAnsi="Georgia;serif"/>
          <w:color w:val="000000"/>
          <w:sz w:val="20"/>
        </w:rPr>
      </w:pPr>
      <w:r>
        <w:rPr>
          <w:rFonts w:ascii="Georgia;serif" w:hAnsi="Georgia;serif"/>
          <w:color w:val="000000"/>
          <w:sz w:val="20"/>
        </w:rPr>
        <w:t>/s/ PricewaterhouseCoopers LLP</w:t>
        <w:br/>
        <w:t>San Jose, California</w:t>
        <w:br/>
        <w:t>March 12,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7" w:name="bolt_exfilingfees.htm"/>
      <w:bookmarkStart w:id="8" w:name="ksbolt_exfilingfees"/>
      <w:bookmarkEnd w:id="7"/>
      <w:bookmarkEnd w:id="8"/>
      <w:r>
        <w:rPr>
          <w:rFonts w:ascii="Times New Roman" w:hAnsi="Times New Roman"/>
          <w:b/>
          <w:color w:val="000000"/>
          <w:sz w:val="20"/>
        </w:rPr>
        <w:t>Exhibit 107</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Calculation of Filing Fee</w:t>
      </w:r>
      <w:r>
        <w:rPr>
          <w:rFonts w:ascii="Times New Roman" w:hAnsi="Times New Roman"/>
          <w:color w:val="000000"/>
          <w:sz w:val="20"/>
        </w:rPr>
        <w:t xml:space="preserve"> </w:t>
      </w:r>
      <w:r>
        <w:rPr>
          <w:rFonts w:ascii="Times New Roman" w:hAnsi="Times New Roman"/>
          <w:b/>
          <w:color w:val="000000"/>
          <w:sz w:val="20"/>
        </w:rPr>
        <w:t>Table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u w:val="single"/>
        </w:rPr>
      </w:pPr>
      <w:r>
        <w:rPr>
          <w:rFonts w:ascii="Times New Roman" w:hAnsi="Times New Roman"/>
          <w:color w:val="000000"/>
          <w:sz w:val="20"/>
          <w:u w:val="single"/>
        </w:rPr>
        <w:t>Form S-8</w:t>
      </w:r>
    </w:p>
    <w:p>
      <w:pPr>
        <w:pStyle w:val="TextBody"/>
        <w:bidi w:val="0"/>
        <w:jc w:val="center"/>
        <w:rPr>
          <w:rFonts w:ascii="Times New Roman" w:hAnsi="Times New Roman"/>
          <w:color w:val="000000"/>
          <w:sz w:val="20"/>
        </w:rPr>
      </w:pPr>
      <w:r>
        <w:rPr>
          <w:rFonts w:ascii="Times New Roman" w:hAnsi="Times New Roman"/>
          <w:color w:val="000000"/>
          <w:sz w:val="20"/>
        </w:rPr>
        <w:t xml:space="preserve">(Form Type) </w:t>
      </w:r>
    </w:p>
    <w:p>
      <w:pPr>
        <w:pStyle w:val="TextBody"/>
        <w:bidi w:val="0"/>
        <w:spacing w:before="240" w:after="283"/>
        <w:jc w:val="center"/>
        <w:rPr>
          <w:rFonts w:ascii="Times New Roman" w:hAnsi="Times New Roman"/>
          <w:color w:val="000000"/>
          <w:sz w:val="20"/>
          <w:u w:val="single"/>
        </w:rPr>
      </w:pPr>
      <w:r>
        <w:rPr>
          <w:rFonts w:ascii="Times New Roman" w:hAnsi="Times New Roman"/>
          <w:color w:val="000000"/>
          <w:sz w:val="20"/>
          <w:u w:val="single"/>
        </w:rPr>
        <w:t>Bolt Biotherapeutics, Inc.</w:t>
      </w:r>
    </w:p>
    <w:p>
      <w:pPr>
        <w:pStyle w:val="TextBody"/>
        <w:bidi w:val="0"/>
        <w:jc w:val="center"/>
        <w:rPr>
          <w:rFonts w:ascii="Times New Roman" w:hAnsi="Times New Roman"/>
          <w:color w:val="000000"/>
          <w:sz w:val="20"/>
        </w:rPr>
      </w:pPr>
      <w:r>
        <w:rPr>
          <w:rFonts w:ascii="Times New Roman" w:hAnsi="Times New Roman"/>
          <w:color w:val="000000"/>
          <w:sz w:val="20"/>
        </w:rPr>
        <w:t xml:space="preserve">(Exact Name of Registrant as Specified in its Charter) </w:t>
      </w:r>
    </w:p>
    <w:p>
      <w:pPr>
        <w:pStyle w:val="TextBody"/>
        <w:bidi w:val="0"/>
        <w:spacing w:before="240" w:after="283"/>
        <w:jc w:val="center"/>
        <w:rPr>
          <w:rFonts w:ascii="Times New Roman" w:hAnsi="Times New Roman"/>
          <w:sz w:val="20"/>
        </w:rPr>
      </w:pPr>
      <w:r>
        <w:rPr>
          <w:rFonts w:ascii="Times New Roman" w:hAnsi="Times New Roman"/>
          <w:b/>
          <w:color w:val="000000"/>
          <w:sz w:val="20"/>
        </w:rPr>
        <w:t>Table 1: Newly Registered Securities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11"/>
        <w:gridCol w:w="706"/>
        <w:gridCol w:w="146"/>
        <w:gridCol w:w="2586"/>
        <w:gridCol w:w="146"/>
        <w:gridCol w:w="946"/>
        <w:gridCol w:w="146"/>
        <w:gridCol w:w="919"/>
        <w:gridCol w:w="146"/>
        <w:gridCol w:w="841"/>
        <w:gridCol w:w="146"/>
        <w:gridCol w:w="871"/>
        <w:gridCol w:w="146"/>
        <w:gridCol w:w="1051"/>
        <w:gridCol w:w="146"/>
        <w:gridCol w:w="1052"/>
      </w:tblGrid>
      <w:tr>
        <w:trPr/>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r>
      <w:tr>
        <w:trPr/>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 w:type="dxa"/>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center"/>
              <w:rPr/>
            </w:pPr>
            <w:r>
              <w:rPr/>
              <w:t> </w:t>
            </w:r>
          </w:p>
        </w:tc>
        <w:tc>
          <w:tcPr>
            <w:tcW w:w="706" w:type="dxa"/>
            <w:tcBorders>
              <w:top w:val="single" w:sz="6" w:space="0" w:color="000000"/>
            </w:tcBorders>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Security</w:t>
              <w:br/>
              <w:t>Type</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2586" w:type="dxa"/>
            <w:tcBorders>
              <w:top w:val="single" w:sz="6" w:space="0" w:color="000000"/>
            </w:tcBorders>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Security Class Title</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946" w:type="dxa"/>
            <w:tcBorders>
              <w:top w:val="single" w:sz="6" w:space="0" w:color="000000"/>
            </w:tcBorders>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Fee</w:t>
              <w:br/>
              <w:t>Calculation</w:t>
              <w:br/>
              <w:t>Rule</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919" w:type="dxa"/>
            <w:tcBorders>
              <w:top w:val="single" w:sz="6" w:space="0" w:color="000000"/>
            </w:tcBorders>
            <w:tcMar>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Amount</w:t>
              <w:br/>
              <w:t>Registered</w:t>
            </w:r>
            <w:r>
              <w:rPr>
                <w:rFonts w:ascii="Times New Roman" w:hAnsi="Times New Roman"/>
                <w:b/>
                <w:color w:val="000000"/>
                <w:sz w:val="11"/>
              </w:rPr>
              <w:t>(1)</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841" w:type="dxa"/>
            <w:tcBorders>
              <w:top w:val="single" w:sz="6" w:space="0" w:color="000000"/>
            </w:tcBorders>
            <w:tcMar>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Proposed</w:t>
              <w:br/>
              <w:t>Maximum</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Offering</w:t>
              <w:br/>
              <w:t>Price Per</w:t>
              <w:br/>
              <w:t>Unit</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871" w:type="dxa"/>
            <w:tcBorders>
              <w:top w:val="single" w:sz="6" w:space="0" w:color="000000"/>
            </w:tcBorders>
            <w:tcMar>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Maximum</w:t>
              <w:br/>
              <w:t>Aggregate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Offering</w:t>
              <w:br/>
              <w:t>Price</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1051" w:type="dxa"/>
            <w:tcBorders>
              <w:top w:val="single" w:sz="6" w:space="0" w:color="000000"/>
            </w:tcBorders>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Fee Rate</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1052" w:type="dxa"/>
            <w:tcBorders>
              <w:top w:val="single" w:sz="6" w:space="0" w:color="000000"/>
              <w:right w:val="single" w:sz="6" w:space="0" w:color="000000"/>
            </w:tcBorders>
            <w:tcMar>
              <w:left w:w="0" w:type="dxa"/>
              <w:bottom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of</w:t>
              <w:br/>
              <w:t>Registration</w:t>
              <w:br/>
              <w:t>Fee</w:t>
            </w:r>
          </w:p>
        </w:tc>
      </w:tr>
      <w:tr>
        <w:trPr/>
        <w:tc>
          <w:tcPr>
            <w:tcW w:w="211" w:type="dxa"/>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w:t>
            </w:r>
          </w:p>
        </w:tc>
        <w:tc>
          <w:tcPr>
            <w:tcW w:w="706" w:type="dxa"/>
            <w:tcBorders>
              <w:top w:val="single" w:sz="6"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Equity</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2586" w:type="dxa"/>
            <w:tcBorders>
              <w:top w:val="single" w:sz="6"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par value $0.00001 per share, Bolt Biotherapeutics, Inc. 2021 Employee Stock Purchase Plan</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946" w:type="dxa"/>
            <w:tcBorders>
              <w:top w:val="single" w:sz="6"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Other</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919" w:type="dxa"/>
            <w:tcBorders>
              <w:top w:val="single" w:sz="6"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19,205</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841" w:type="dxa"/>
            <w:tcBorders>
              <w:top w:val="single" w:sz="6"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$3.56</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871" w:type="dxa"/>
            <w:tcBorders>
              <w:top w:val="single" w:sz="6"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$68,370</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1051" w:type="dxa"/>
            <w:tcBorders>
              <w:top w:val="single" w:sz="6"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$0.00013810</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1052" w:type="dxa"/>
            <w:tcBorders>
              <w:top w:val="single" w:sz="6" w:space="0" w:color="000000"/>
              <w:right w:val="single" w:sz="6" w:space="0" w:color="000000"/>
            </w:tcBorders>
            <w:tcMar>
              <w:left w:w="0" w:type="dxa"/>
              <w:bottom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$9.45</w:t>
            </w:r>
          </w:p>
        </w:tc>
      </w:tr>
      <w:tr>
        <w:trPr/>
        <w:tc>
          <w:tcPr>
            <w:tcW w:w="211" w:type="dxa"/>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w:t>
            </w:r>
          </w:p>
        </w:tc>
        <w:tc>
          <w:tcPr>
            <w:tcW w:w="706" w:type="dxa"/>
            <w:tcBorders>
              <w:top w:val="single" w:sz="6"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Equity</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2586" w:type="dxa"/>
            <w:tcBorders>
              <w:top w:val="single" w:sz="6"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par value $0.00001 per share, Bolt Biotherapeutics, Inc. 2021 Equity Incentive Plan</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946" w:type="dxa"/>
            <w:tcBorders>
              <w:top w:val="single" w:sz="6"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Other</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919" w:type="dxa"/>
            <w:tcBorders>
              <w:top w:val="single" w:sz="6"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96,028</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841" w:type="dxa"/>
            <w:tcBorders>
              <w:top w:val="single" w:sz="6"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$4.19</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871" w:type="dxa"/>
            <w:tcBorders>
              <w:top w:val="single" w:sz="6"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$402,357</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1051" w:type="dxa"/>
            <w:tcBorders>
              <w:top w:val="single" w:sz="6"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$0.00013810</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1052" w:type="dxa"/>
            <w:tcBorders>
              <w:top w:val="single" w:sz="6" w:space="0" w:color="000000"/>
              <w:right w:val="single" w:sz="6" w:space="0" w:color="000000"/>
            </w:tcBorders>
            <w:tcMar>
              <w:left w:w="0" w:type="dxa"/>
              <w:bottom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$55.57</w:t>
            </w:r>
          </w:p>
        </w:tc>
      </w:tr>
      <w:tr>
        <w:trPr/>
        <w:tc>
          <w:tcPr>
            <w:tcW w:w="211" w:type="dxa"/>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pPr>
            <w:r>
              <w:rPr/>
              <w:t> </w:t>
            </w:r>
          </w:p>
        </w:tc>
        <w:tc>
          <w:tcPr>
            <w:tcW w:w="5595" w:type="dxa"/>
            <w:gridSpan w:val="7"/>
            <w:tcBorders>
              <w:top w:val="single" w:sz="6"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Offering Amounts</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841" w:type="dxa"/>
            <w:tcBorders>
              <w:top w:val="single" w:sz="6"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871" w:type="dxa"/>
            <w:tcBorders>
              <w:top w:val="single" w:sz="6" w:space="0" w:color="000000"/>
            </w:tcBorders>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$470,727</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1051" w:type="dxa"/>
            <w:tcBorders>
              <w:top w:val="single" w:sz="6"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1052" w:type="dxa"/>
            <w:tcBorders>
              <w:top w:val="single" w:sz="6" w:space="0" w:color="000000"/>
              <w:right w:val="single" w:sz="6" w:space="0" w:color="000000"/>
            </w:tcBorders>
            <w:tcMar>
              <w:left w:w="0" w:type="dxa"/>
              <w:bottom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$65.02</w:t>
            </w:r>
          </w:p>
        </w:tc>
      </w:tr>
      <w:tr>
        <w:trPr/>
        <w:tc>
          <w:tcPr>
            <w:tcW w:w="211" w:type="dxa"/>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pPr>
            <w:r>
              <w:rPr/>
              <w:t> </w:t>
            </w:r>
          </w:p>
        </w:tc>
        <w:tc>
          <w:tcPr>
            <w:tcW w:w="5595" w:type="dxa"/>
            <w:gridSpan w:val="7"/>
            <w:tcBorders>
              <w:top w:val="single" w:sz="6"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Fee Offsets</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841" w:type="dxa"/>
            <w:tcBorders>
              <w:top w:val="single" w:sz="6"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871" w:type="dxa"/>
            <w:tcBorders>
              <w:top w:val="single" w:sz="6"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1051" w:type="dxa"/>
            <w:tcBorders>
              <w:top w:val="single" w:sz="6"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1052" w:type="dxa"/>
            <w:tcBorders>
              <w:top w:val="single" w:sz="6" w:space="0" w:color="000000"/>
              <w:right w:val="single" w:sz="6" w:space="0" w:color="000000"/>
            </w:tcBorders>
            <w:tcMar>
              <w:left w:w="0" w:type="dxa"/>
              <w:bottom w:w="0" w:type="dxa"/>
            </w:tcMar>
            <w:vAlign w:val="center"/>
          </w:tcPr>
          <w:p>
            <w:pPr>
              <w:pStyle w:val="TableContents"/>
              <w:bidi w:val="0"/>
              <w:spacing w:before="0" w:after="283"/>
              <w:jc w:val="center"/>
              <w:rPr>
                <w:color w:val="000000"/>
              </w:rPr>
            </w:pPr>
            <w:r>
              <w:rPr>
                <w:color w:val="000000"/>
              </w:rPr>
              <w:t>—</w:t>
            </w:r>
          </w:p>
        </w:tc>
      </w:tr>
      <w:tr>
        <w:trPr/>
        <w:tc>
          <w:tcPr>
            <w:tcW w:w="211"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pPr>
            <w:r>
              <w:rPr/>
              <w:t> </w:t>
            </w:r>
          </w:p>
        </w:tc>
        <w:tc>
          <w:tcPr>
            <w:tcW w:w="5595" w:type="dxa"/>
            <w:gridSpan w:val="7"/>
            <w:tcBorders>
              <w:top w:val="single" w:sz="6" w:space="0" w:color="000000"/>
              <w:bottom w:val="single" w:sz="6"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Fee Due</w:t>
            </w:r>
          </w:p>
        </w:tc>
        <w:tc>
          <w:tcPr>
            <w:tcW w:w="146" w:type="dxa"/>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pPr>
            <w:r>
              <w:rPr/>
              <w:t> </w:t>
            </w:r>
          </w:p>
        </w:tc>
        <w:tc>
          <w:tcPr>
            <w:tcW w:w="841" w:type="dxa"/>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pPr>
            <w:r>
              <w:rPr/>
              <w:t> </w:t>
            </w:r>
          </w:p>
        </w:tc>
        <w:tc>
          <w:tcPr>
            <w:tcW w:w="146" w:type="dxa"/>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pPr>
            <w:r>
              <w:rPr/>
              <w:t> </w:t>
            </w:r>
          </w:p>
        </w:tc>
        <w:tc>
          <w:tcPr>
            <w:tcW w:w="871" w:type="dxa"/>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pPr>
            <w:r>
              <w:rPr/>
              <w:t> </w:t>
            </w:r>
          </w:p>
        </w:tc>
        <w:tc>
          <w:tcPr>
            <w:tcW w:w="146" w:type="dxa"/>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pPr>
            <w:r>
              <w:rPr/>
              <w:t> </w:t>
            </w:r>
          </w:p>
        </w:tc>
        <w:tc>
          <w:tcPr>
            <w:tcW w:w="1051" w:type="dxa"/>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pPr>
            <w:r>
              <w:rPr/>
              <w:t> </w:t>
            </w:r>
          </w:p>
        </w:tc>
        <w:tc>
          <w:tcPr>
            <w:tcW w:w="146" w:type="dxa"/>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pPr>
            <w:r>
              <w:rPr/>
              <w:t> </w:t>
            </w:r>
          </w:p>
        </w:tc>
        <w:tc>
          <w:tcPr>
            <w:tcW w:w="1052"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$65.02</w:t>
            </w:r>
          </w:p>
        </w:tc>
      </w:tr>
    </w:tbl>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Offering Note</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w:t>
      </w:r>
    </w:p>
    <w:p>
      <w:pPr>
        <w:pStyle w:val="TextBody"/>
        <w:bidi w:val="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Pursuant to Rule 416(a) promulgated under the Securities Act of 1933, as amended (the “</w:t>
      </w:r>
      <w:r>
        <w:rPr>
          <w:rFonts w:ascii="Times New Roman" w:hAnsi="Times New Roman"/>
          <w:b/>
          <w:i/>
          <w:color w:val="000000"/>
          <w:sz w:val="20"/>
        </w:rPr>
        <w:t>Securities Act</w:t>
      </w:r>
      <w:r>
        <w:rPr>
          <w:rFonts w:ascii="Times New Roman" w:hAnsi="Times New Roman"/>
          <w:color w:val="000000"/>
          <w:sz w:val="20"/>
        </w:rPr>
        <w:t>”), this Registration Statement shall also cover any additional shares of common stock, $0.00001 par value per share (“</w:t>
      </w:r>
      <w:r>
        <w:rPr>
          <w:rFonts w:ascii="Times New Roman" w:hAnsi="Times New Roman"/>
          <w:b/>
          <w:i/>
          <w:color w:val="000000"/>
          <w:sz w:val="20"/>
        </w:rPr>
        <w:t>Common Stock</w:t>
      </w:r>
      <w:r>
        <w:rPr>
          <w:rFonts w:ascii="Times New Roman" w:hAnsi="Times New Roman"/>
          <w:color w:val="000000"/>
          <w:sz w:val="20"/>
        </w:rPr>
        <w:t>”) of Bolt Biotherapeutics, Inc. (the “</w:t>
      </w:r>
      <w:r>
        <w:rPr>
          <w:rFonts w:ascii="Times New Roman" w:hAnsi="Times New Roman"/>
          <w:b/>
          <w:i/>
          <w:color w:val="000000"/>
          <w:sz w:val="20"/>
        </w:rPr>
        <w:t>Registrant</w:t>
      </w:r>
      <w:r>
        <w:rPr>
          <w:rFonts w:ascii="Times New Roman" w:hAnsi="Times New Roman"/>
          <w:color w:val="000000"/>
          <w:sz w:val="20"/>
        </w:rPr>
        <w:t>”) that become issuable under the Registrant’s 2021 Employee Stock Purchase Plan (the “</w:t>
      </w:r>
      <w:r>
        <w:rPr>
          <w:rFonts w:ascii="Times New Roman" w:hAnsi="Times New Roman"/>
          <w:b/>
          <w:i/>
          <w:color w:val="000000"/>
          <w:sz w:val="20"/>
        </w:rPr>
        <w:t>2021 ESPP</w:t>
      </w:r>
      <w:r>
        <w:rPr>
          <w:rFonts w:ascii="Times New Roman" w:hAnsi="Times New Roman"/>
          <w:color w:val="000000"/>
          <w:sz w:val="20"/>
        </w:rPr>
        <w:t>”) and the Registrant’s 2021 Equity Incentive Plan (the “</w:t>
      </w:r>
      <w:r>
        <w:rPr>
          <w:rFonts w:ascii="Times New Roman" w:hAnsi="Times New Roman"/>
          <w:b/>
          <w:i/>
          <w:color w:val="000000"/>
          <w:sz w:val="20"/>
        </w:rPr>
        <w:t>2021 Plan</w:t>
      </w:r>
      <w:r>
        <w:rPr>
          <w:rFonts w:ascii="Times New Roman" w:hAnsi="Times New Roman"/>
          <w:color w:val="000000"/>
          <w:sz w:val="20"/>
        </w:rPr>
        <w:t>”) by reason of any stock dividend, stock split, recapitalization, or other similar transaction effected that results in an increase to the number of outstanding shares of the Registrant’s Common Stock, as applicable.</w:t>
      </w:r>
    </w:p>
    <w:p>
      <w:pPr>
        <w:pStyle w:val="TextBody"/>
        <w:bidi w:val="0"/>
        <w:spacing w:before="200" w:after="200"/>
        <w:jc w:val="both"/>
        <w:rPr>
          <w:rFonts w:ascii="Times New Roman" w:hAnsi="Times New Roman"/>
          <w:sz w:val="20"/>
        </w:rPr>
      </w:pPr>
      <w:r>
        <w:rPr>
          <w:rFonts w:ascii="Times New Roman" w:hAnsi="Times New Roman"/>
          <w:b/>
          <w:color w:val="000000"/>
          <w:sz w:val="20"/>
        </w:rPr>
        <w:t xml:space="preserve">B. </w:t>
      </w:r>
      <w:r>
        <w:rPr>
          <w:rFonts w:ascii="Times New Roman" w:hAnsi="Times New Roman"/>
          <w:color w:val="000000"/>
          <w:sz w:val="20"/>
        </w:rPr>
        <w:t xml:space="preserve">The proposed maximum offering price per unit is estimated in accordance with Rules 457(c) and (h) under the Securities Act solely for the purpose of calculating the registration fee on the basis of $3.56 per share of Common Stock, which represents the average of the high and low prices of the Registrant’s Common Stock as reported on The Nasdaq Capital Market on March 9, 2026, multiplied by 85%, which is the percentage of the price per share applicable to shares issued under the 2021 ESPP. </w:t>
      </w:r>
    </w:p>
    <w:p>
      <w:pPr>
        <w:pStyle w:val="TextBody"/>
        <w:bidi w:val="0"/>
        <w:spacing w:before="0" w:after="200"/>
        <w:jc w:val="both"/>
        <w:rPr>
          <w:rFonts w:ascii="Times New Roman" w:hAnsi="Times New Roman"/>
          <w:sz w:val="20"/>
        </w:rPr>
      </w:pPr>
      <w:r>
        <w:rPr>
          <w:rFonts w:ascii="Times New Roman" w:hAnsi="Times New Roman"/>
          <w:b/>
          <w:color w:val="000000"/>
          <w:sz w:val="20"/>
        </w:rPr>
        <w:t xml:space="preserve">C. </w:t>
      </w:r>
      <w:r>
        <w:rPr>
          <w:rFonts w:ascii="Times New Roman" w:hAnsi="Times New Roman"/>
          <w:color w:val="000000"/>
          <w:sz w:val="20"/>
        </w:rPr>
        <w:t xml:space="preserve">The amount registered represents 19,205 additional shares of the Registrant’s Common Stock that were added to the shares authorized for issuance under the 2021 ESPP pursuant to an annual “evergreen” increase provision contained in the 2021 ESPP. Pursuant to such provision, the number of shares reserved for issuance under the 2021 ESPP will increase on January 1 of each calendar year that commences after the 2021 ESPP became effective and continuing through and including January 1, 2031, by the lesser of (a) 1% of the total number of shares of the Registrant’s Common Stock outstanding on December 31 of the preceding calendar year, (b) 42,000 shares, and (c) a number of shares determined by the Registrant’s board of directors. </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(2)</w:t>
      </w:r>
    </w:p>
    <w:p>
      <w:pPr>
        <w:pStyle w:val="TextBody"/>
        <w:bidi w:val="0"/>
        <w:spacing w:before="0" w:after="200"/>
        <w:jc w:val="both"/>
        <w:rPr/>
      </w:pPr>
      <w:r>
        <w:rPr>
          <w:rFonts w:ascii="Times New Roman" w:hAnsi="Times New Roman"/>
          <w:b/>
          <w:color w:val="000000"/>
          <w:sz w:val="20"/>
        </w:rPr>
        <w:t xml:space="preserve">A. </w:t>
      </w:r>
      <w:r>
        <w:rPr>
          <w:rFonts w:ascii="Times New Roman" w:hAnsi="Times New Roman"/>
          <w:color w:val="000000"/>
          <w:sz w:val="20"/>
        </w:rPr>
        <w:t>See Note 1A.</w:t>
      </w:r>
    </w:p>
    <w:p>
      <w:pPr>
        <w:pStyle w:val="TextBody"/>
        <w:bidi w:val="0"/>
        <w:spacing w:before="0" w:after="200"/>
        <w:jc w:val="both"/>
        <w:rPr>
          <w:rFonts w:ascii="Times New Roman" w:hAnsi="Times New Roman"/>
          <w:sz w:val="20"/>
        </w:rPr>
      </w:pPr>
      <w:r>
        <w:rPr>
          <w:rFonts w:ascii="Times New Roman" w:hAnsi="Times New Roman"/>
          <w:b/>
          <w:color w:val="000000"/>
          <w:sz w:val="20"/>
        </w:rPr>
        <w:t xml:space="preserve">B. </w:t>
      </w:r>
      <w:r>
        <w:rPr>
          <w:rFonts w:ascii="Times New Roman" w:hAnsi="Times New Roman"/>
          <w:color w:val="000000"/>
          <w:sz w:val="20"/>
        </w:rPr>
        <w:t>The proposed maximum offering price per unit is estimated in accordance with Rules 457(c) and (h) under the Securities Act solely for the purpose of calculating the registration fee on the basis of $4.19 per share of Common Stock, which represents the average of the high and low prices of the Registrant’s Common Stock as reported on The Nasdaq Capital Market on March 9, 2026.</w:t>
      </w:r>
    </w:p>
    <w:p>
      <w:pPr>
        <w:pStyle w:val="TextBody"/>
        <w:bidi w:val="0"/>
        <w:spacing w:before="0" w:after="200"/>
        <w:jc w:val="both"/>
        <w:rPr>
          <w:rFonts w:ascii="Times New Roman" w:hAnsi="Times New Roman"/>
          <w:sz w:val="20"/>
        </w:rPr>
      </w:pPr>
      <w:r>
        <w:rPr>
          <w:rFonts w:ascii="Times New Roman" w:hAnsi="Times New Roman"/>
          <w:b/>
          <w:color w:val="000000"/>
          <w:sz w:val="20"/>
        </w:rPr>
        <w:t xml:space="preserve">C. </w:t>
      </w:r>
      <w:r>
        <w:rPr>
          <w:rFonts w:ascii="Times New Roman" w:hAnsi="Times New Roman"/>
          <w:color w:val="000000"/>
          <w:sz w:val="20"/>
        </w:rPr>
        <w:t xml:space="preserve">The amount registered represents 96,028 additional shares of the Registrant’s Common Stock that were added to the shares authorized for issuance under the 2021 Plan pursuant to an annual “evergreen” increase </w:t>
      </w:r>
    </w:p>
    <w:p>
      <w:pPr>
        <w:pStyle w:val="HorizontalLine"/>
        <w:pBdr>
          <w:bottom w:val="double" w:sz="2" w:space="0" w:color="808080"/>
        </w:pBdr>
        <w:bidi w:val="0"/>
        <w:spacing w:before="0" w:after="283"/>
        <w:jc w:val="left"/>
        <w:rPr/>
      </w:pPr>
      <w:r>
        <w:rPr/>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provision contained in the 2021 Plan. Pursuant to such provision, the number of shares reserved for issuance under the 2021 Plan will increase on the first day of January of each calendar year that commences after the 2021 Plan became effective and continuing through and including January 1, 2031, in an amount equal to 5% of the total number of shares of the Registrant’s Common Stock outstanding on December 31 of the preceding calendar year, or a lesser number of shares determined by the Registrant’s board of directors.</w:t>
      </w:r>
    </w:p>
    <w:p>
      <w:pPr>
        <w:pStyle w:val="TextBody"/>
        <w:bidi w:val="0"/>
        <w:jc w:val="left"/>
        <w:rPr/>
      </w:pPr>
      <w:r>
        <w:rPr/>
        <w:t> </w:t>
      </w:r>
    </w:p>
    <w:tbl>
      <w:tblPr>
        <w:tblW w:w="8803" w:type="dxa"/>
        <w:jc w:val="left"/>
        <w:tblInd w:w="0" w:type="dxa"/>
        <w:tblLayout w:type="fixed"/>
        <w:tblCellMar>
          <w:top w:w="28" w:type="dxa"/>
          <w:left w:w="28" w:type="dxa"/>
          <w:bottom w:w="28" w:type="dxa"/>
          <w:right w:w="28" w:type="dxa"/>
        </w:tblCellMar>
      </w:tblPr>
      <w:tblGrid>
        <w:gridCol w:w="1171"/>
        <w:gridCol w:w="331"/>
        <w:gridCol w:w="736"/>
        <w:gridCol w:w="586"/>
        <w:gridCol w:w="571"/>
        <w:gridCol w:w="496"/>
        <w:gridCol w:w="466"/>
        <w:gridCol w:w="601"/>
        <w:gridCol w:w="751"/>
        <w:gridCol w:w="751"/>
        <w:gridCol w:w="751"/>
        <w:gridCol w:w="1036"/>
        <w:gridCol w:w="556"/>
      </w:tblGrid>
      <w:tr>
        <w:trPr/>
        <w:tc>
          <w:tcPr>
            <w:tcW w:w="11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8803" w:type="dxa"/>
            <w:gridSpan w:val="13"/>
            <w:tcBorders>
              <w:top w:val="single" w:sz="4" w:space="0" w:color="000000"/>
              <w:left w:val="single" w:sz="4" w:space="0" w:color="000000"/>
              <w:bottom w:val="single" w:sz="4" w:space="0" w:color="000000"/>
              <w:right w:val="single" w:sz="4" w:space="0" w:color="000000"/>
            </w:tcBorders>
            <w:tcMar>
              <w:left w:w="72" w:type="dxa"/>
              <w:right w:w="72"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Table 2: Fee Offset Claims and Sources</w:t>
            </w:r>
          </w:p>
          <w:p>
            <w:pPr>
              <w:pStyle w:val="TableContents"/>
              <w:bidi w:val="0"/>
              <w:spacing w:before="0" w:after="283"/>
              <w:jc w:val="right"/>
              <w:rPr/>
            </w:pPr>
            <w:r>
              <w:rPr>
                <w:color w:val="000000"/>
              </w:rPr>
              <w:t>☑ </w:t>
            </w:r>
            <w:r>
              <w:rPr>
                <w:rFonts w:ascii="Times New Roman" w:hAnsi="Times New Roman"/>
                <w:b/>
                <w:color w:val="000000"/>
                <w:sz w:val="14"/>
              </w:rPr>
              <w:t>Not Applicable</w:t>
            </w:r>
          </w:p>
        </w:tc>
      </w:tr>
      <w:tr>
        <w:trPr/>
        <w:tc>
          <w:tcPr>
            <w:tcW w:w="1171" w:type="dxa"/>
            <w:tcBorders>
              <w:left w:val="single" w:sz="4" w:space="0" w:color="000000"/>
              <w:bottom w:val="single" w:sz="4" w:space="0" w:color="000000"/>
              <w:right w:val="single" w:sz="4" w:space="0" w:color="000000"/>
            </w:tcBorders>
            <w:tcMar>
              <w:top w:w="0" w:type="dxa"/>
              <w:left w:w="72" w:type="dxa"/>
              <w:right w:w="72" w:type="dxa"/>
            </w:tcMar>
            <w:vAlign w:val="center"/>
          </w:tcPr>
          <w:p>
            <w:pPr>
              <w:pStyle w:val="TableContents"/>
              <w:bidi w:val="0"/>
              <w:spacing w:before="0" w:after="283"/>
              <w:jc w:val="center"/>
              <w:rPr/>
            </w:pPr>
            <w:r>
              <w:rPr/>
              <w:t> </w:t>
            </w:r>
          </w:p>
        </w:tc>
        <w:tc>
          <w:tcPr>
            <w:tcW w:w="331"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pPr>
            <w:r>
              <w:rPr/>
              <w:t> </w:t>
            </w:r>
          </w:p>
        </w:tc>
        <w:tc>
          <w:tcPr>
            <w:tcW w:w="736"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Registrant</w:t>
              <w:br/>
              <w:t>or Filer</w:t>
              <w:br/>
              <w:t>Name</w:t>
            </w:r>
          </w:p>
        </w:tc>
        <w:tc>
          <w:tcPr>
            <w:tcW w:w="586"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Form or</w:t>
              <w:br/>
              <w:t>Filing</w:t>
              <w:br/>
              <w:t>Type</w:t>
            </w:r>
          </w:p>
        </w:tc>
        <w:tc>
          <w:tcPr>
            <w:tcW w:w="571"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File</w:t>
              <w:br/>
              <w:t>Number</w:t>
            </w:r>
          </w:p>
        </w:tc>
        <w:tc>
          <w:tcPr>
            <w:tcW w:w="496"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Initial</w:t>
              <w:br/>
              <w:t>Filing</w:t>
              <w:br/>
              <w:t>Date</w:t>
            </w:r>
          </w:p>
        </w:tc>
        <w:tc>
          <w:tcPr>
            <w:tcW w:w="466"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Filing</w:t>
              <w:br/>
              <w:t>Date</w:t>
            </w:r>
          </w:p>
        </w:tc>
        <w:tc>
          <w:tcPr>
            <w:tcW w:w="601"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Fee</w:t>
              <w:br/>
              <w:t>Offset</w:t>
              <w:br/>
              <w:t>Claimed</w:t>
            </w:r>
          </w:p>
        </w:tc>
        <w:tc>
          <w:tcPr>
            <w:tcW w:w="751"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Security</w:t>
              <w:br/>
              <w:t>Type</w:t>
              <w:br/>
              <w:t>Associated</w:t>
              <w:br/>
              <w:t>with Fee</w:t>
              <w:br/>
              <w:t>Offset</w:t>
              <w:br/>
              <w:t>Claimed</w:t>
            </w:r>
          </w:p>
        </w:tc>
        <w:tc>
          <w:tcPr>
            <w:tcW w:w="751"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Security</w:t>
              <w:br/>
              <w:t>Title</w:t>
              <w:br/>
              <w:t>Associated</w:t>
              <w:br/>
              <w:t>with Fee</w:t>
              <w:br/>
              <w:t>Offset</w:t>
              <w:br/>
              <w:t>Claimed</w:t>
            </w:r>
          </w:p>
        </w:tc>
        <w:tc>
          <w:tcPr>
            <w:tcW w:w="751"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Unsold</w:t>
              <w:br/>
              <w:t>Securities</w:t>
              <w:br/>
              <w:t>Associated</w:t>
              <w:br/>
              <w:t>with Fee</w:t>
              <w:br/>
              <w:t>Offset</w:t>
              <w:br/>
              <w:t>Claimed</w:t>
            </w:r>
          </w:p>
        </w:tc>
        <w:tc>
          <w:tcPr>
            <w:tcW w:w="1036"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Unsold</w:t>
              <w:br/>
              <w:t>Aggregate</w:t>
              <w:br/>
              <w:t>Offering</w:t>
              <w:br/>
              <w:t>Amount</w:t>
              <w:br/>
              <w:t>Associated with</w:t>
              <w:br/>
              <w:t>Fee Offset</w:t>
              <w:br/>
              <w:t>Claimed</w:t>
            </w:r>
          </w:p>
        </w:tc>
        <w:tc>
          <w:tcPr>
            <w:tcW w:w="556"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Fee</w:t>
              <w:br/>
              <w:t>Paid</w:t>
              <w:br/>
              <w:t>with</w:t>
              <w:br/>
              <w:t>Fee</w:t>
              <w:br/>
              <w:t>Offset</w:t>
              <w:br/>
              <w:t>Source</w:t>
            </w:r>
          </w:p>
        </w:tc>
      </w:tr>
      <w:tr>
        <w:trPr/>
        <w:tc>
          <w:tcPr>
            <w:tcW w:w="8803" w:type="dxa"/>
            <w:gridSpan w:val="13"/>
            <w:tcBorders>
              <w:left w:val="single" w:sz="4" w:space="0" w:color="000000"/>
              <w:bottom w:val="single" w:sz="4" w:space="0" w:color="000000"/>
              <w:right w:val="single" w:sz="4" w:space="0" w:color="000000"/>
            </w:tcBorders>
            <w:tcMar>
              <w:top w:w="0" w:type="dxa"/>
              <w:left w:w="72" w:type="dxa"/>
              <w:right w:w="72"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Rule 457(p)</w:t>
            </w:r>
          </w:p>
        </w:tc>
      </w:tr>
      <w:tr>
        <w:trPr/>
        <w:tc>
          <w:tcPr>
            <w:tcW w:w="1171" w:type="dxa"/>
            <w:tcBorders>
              <w:left w:val="single" w:sz="4" w:space="0" w:color="000000"/>
              <w:bottom w:val="single" w:sz="4" w:space="0" w:color="000000"/>
              <w:right w:val="single" w:sz="4" w:space="0" w:color="000000"/>
            </w:tcBorders>
            <w:tcMar>
              <w:top w:w="0" w:type="dxa"/>
              <w:left w:w="72" w:type="dxa"/>
              <w:right w:w="72"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Fee Offset Claims</w:t>
            </w:r>
          </w:p>
        </w:tc>
        <w:tc>
          <w:tcPr>
            <w:tcW w:w="331"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736"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586"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571"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496"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466"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601"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751"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751"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751"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036"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556"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r>
      <w:tr>
        <w:trPr/>
        <w:tc>
          <w:tcPr>
            <w:tcW w:w="1171" w:type="dxa"/>
            <w:tcBorders>
              <w:left w:val="single" w:sz="4" w:space="0" w:color="000000"/>
              <w:bottom w:val="single" w:sz="4" w:space="0" w:color="000000"/>
              <w:right w:val="single" w:sz="4" w:space="0" w:color="000000"/>
            </w:tcBorders>
            <w:tcMar>
              <w:top w:w="0" w:type="dxa"/>
              <w:left w:w="72" w:type="dxa"/>
              <w:right w:w="72"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Fee Offset Sources</w:t>
            </w:r>
          </w:p>
        </w:tc>
        <w:tc>
          <w:tcPr>
            <w:tcW w:w="331"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736"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586"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571"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496"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466"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601"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751"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751"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751"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036"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556"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41281/000119312521030982/d94530ds8.htm" TargetMode="External"/><Relationship Id="rId3" Type="http://schemas.openxmlformats.org/officeDocument/2006/relationships/hyperlink" Target="https://www.sec.gov/Archives/edgar/data/1641281/000156459022012641/bolt-s8.htm" TargetMode="External"/><Relationship Id="rId4" Type="http://schemas.openxmlformats.org/officeDocument/2006/relationships/hyperlink" Target="https://www.sec.gov/Archives/edgar/data/1641281/000095017023010624/0000950170-23-010624-index.htm" TargetMode="External"/><Relationship Id="rId5" Type="http://schemas.openxmlformats.org/officeDocument/2006/relationships/hyperlink" Target="https://www.sec.gov/Archives/edgar/data/1641281/000095017023010624/0000950170-23-010624-index.htm" TargetMode="External"/><Relationship Id="rId6" Type="http://schemas.openxmlformats.org/officeDocument/2006/relationships/hyperlink" Target="https://www.sec.gov/Archives/edgar/data/1641281/000095017024034711/2024_s-8_evergreen.htm" TargetMode="External"/><Relationship Id="rId7" Type="http://schemas.openxmlformats.org/officeDocument/2006/relationships/hyperlink" Target="https://www.sec.gov/Archives/edgar/data/1641281/000095017025043900/2025_s-8_evergreen.htm" TargetMode="External"/><Relationship Id="rId8" Type="http://schemas.openxmlformats.org/officeDocument/2006/relationships/hyperlink" Target="https://www.sec.gov/Archives/edgar/data/1641281/000095017025043900/2025_s-8_evergreen.htm" TargetMode="External"/><Relationship Id="rId9" Type="http://schemas.openxmlformats.org/officeDocument/2006/relationships/hyperlink" Target="https://www.sec.gov/ix?doc=/Archives/edgar/data/0001641281/000119312526104121/bolt-20251231.htm" TargetMode="External"/><Relationship Id="rId10" Type="http://schemas.openxmlformats.org/officeDocument/2006/relationships/hyperlink" Target="https://www.sec.gov/ix?doc=/Archives/edgar/data/0001641281/000119312526104121/bolt-20251231.htm" TargetMode="External"/><Relationship Id="rId11" Type="http://schemas.openxmlformats.org/officeDocument/2006/relationships/hyperlink" Target="https://www.sec.gov/Archives/edgar/data/1641281/000119312521025784/d38933d8a12b.htm" TargetMode="External"/><Relationship Id="rId12" Type="http://schemas.openxmlformats.org/officeDocument/2006/relationships/hyperlink" Target="https://www.sec.gov/Archives/edgar/data/1641281/000119312521034375/d68629dex31.htm" TargetMode="External"/><Relationship Id="rId13" Type="http://schemas.openxmlformats.org/officeDocument/2006/relationships/hyperlink" Target="https://www.sec.gov/ix?doc=/Archives/edgar/data/0001641281/000095017025083180/bolt-20250606.htm" TargetMode="External"/><Relationship Id="rId14" Type="http://schemas.openxmlformats.org/officeDocument/2006/relationships/hyperlink" Target="https://www.sec.gov/ix?doc=/Archives/edgar/data/0001641281/000095017025054871/bolt-20250415.htm" TargetMode="External"/><Relationship Id="rId15" Type="http://schemas.openxmlformats.org/officeDocument/2006/relationships/hyperlink" Target="https://www.sec.gov/Archives/edgar/data/1641281/000119312521010049/d58029dex41.htm" TargetMode="External"/><Relationship Id="rId16" Type="http://schemas.openxmlformats.org/officeDocument/2006/relationships/hyperlink" Target="https://www.sec.gov/Archives/edgar/data/1641281/000119312521023574/d58029dex104.htm" TargetMode="External"/><Relationship Id="rId17" Type="http://schemas.openxmlformats.org/officeDocument/2006/relationships/hyperlink" Target="https://www.sec.gov/Archives/edgar/data/1641281/000119312521023574/d58029dex107.htm" TargetMode="External"/><Relationship Id="rId18" Type="http://schemas.openxmlformats.org/officeDocument/2006/relationships/image" Target="media/image1.gif"/><Relationship Id="rId19" Type="http://schemas.openxmlformats.org/officeDocument/2006/relationships/image" Target="media/image1.gif"/><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2564</Words>
  <Characters>13651</Characters>
  <CharactersWithSpaces>16351</CharactersWithSpaces>
  <Paragraphs>617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