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2793365</wp:posOffset>
            </wp:positionH>
            <wp:positionV relativeFrom="page">
              <wp:posOffset>1675130</wp:posOffset>
            </wp:positionV>
            <wp:extent cx="2185670" cy="1013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5670" cy="1013460"/>
                    </a:xfrm>
                    <a:prstGeom prst="rect">
                      <a:avLst/>
                    </a:prstGeom>
                    <a:noFill/>
                  </pic:spPr>
                </pic:pic>
              </a:graphicData>
            </a:graphic>
          </wp:anchor>
        </w:drawing>
        <w:drawing>
          <wp:anchor simplePos="0" relativeHeight="251657728" behindDoc="1" locked="0" layoutInCell="0" allowOverlap="1">
            <wp:simplePos x="0" y="0"/>
            <wp:positionH relativeFrom="page">
              <wp:posOffset>3835400</wp:posOffset>
            </wp:positionH>
            <wp:positionV relativeFrom="page">
              <wp:posOffset>4565650</wp:posOffset>
            </wp:positionV>
            <wp:extent cx="101600" cy="101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3182620</wp:posOffset>
            </wp:positionV>
            <wp:extent cx="803275" cy="102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3275" cy="102235"/>
                    </a:xfrm>
                    <a:prstGeom prst="rect">
                      <a:avLst/>
                    </a:prstGeom>
                    <a:noFill/>
                  </pic:spPr>
                </pic:pic>
              </a:graphicData>
            </a:graphic>
          </wp:anchor>
        </w:drawing>
        <w:drawing>
          <wp:anchor simplePos="0" relativeHeight="251657728" behindDoc="1" locked="0" layoutInCell="0" allowOverlap="1">
            <wp:simplePos x="0" y="0"/>
            <wp:positionH relativeFrom="page">
              <wp:posOffset>905510</wp:posOffset>
            </wp:positionH>
            <wp:positionV relativeFrom="page">
              <wp:posOffset>6285230</wp:posOffset>
            </wp:positionV>
            <wp:extent cx="721995" cy="102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995" cy="102235"/>
                    </a:xfrm>
                    <a:prstGeom prst="rect">
                      <a:avLst/>
                    </a:prstGeom>
                    <a:noFill/>
                  </pic:spPr>
                </pic:pic>
              </a:graphicData>
            </a:graphic>
          </wp:anchor>
        </w:drawing>
        <w:drawing>
          <wp:anchor simplePos="0" relativeHeight="251657728" behindDoc="1" locked="0" layoutInCell="0" allowOverlap="1">
            <wp:simplePos x="0" y="0"/>
            <wp:positionH relativeFrom="page">
              <wp:posOffset>1170305</wp:posOffset>
            </wp:positionH>
            <wp:positionV relativeFrom="page">
              <wp:posOffset>6506845</wp:posOffset>
            </wp:positionV>
            <wp:extent cx="85090" cy="99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090" cy="99695"/>
                    </a:xfrm>
                    <a:prstGeom prst="rect">
                      <a:avLst/>
                    </a:prstGeom>
                    <a:noFill/>
                  </pic:spPr>
                </pic:pic>
              </a:graphicData>
            </a:graphic>
          </wp:anchor>
        </w:drawing>
        <w:drawing>
          <wp:anchor simplePos="0" relativeHeight="251657728" behindDoc="1" locked="0" layoutInCell="0" allowOverlap="1">
            <wp:simplePos x="0" y="0"/>
            <wp:positionH relativeFrom="page">
              <wp:posOffset>1416050</wp:posOffset>
            </wp:positionH>
            <wp:positionV relativeFrom="page">
              <wp:posOffset>6506845</wp:posOffset>
            </wp:positionV>
            <wp:extent cx="251460" cy="100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460" cy="100330"/>
                    </a:xfrm>
                    <a:prstGeom prst="rect">
                      <a:avLst/>
                    </a:prstGeom>
                    <a:noFill/>
                  </pic:spPr>
                </pic:pic>
              </a:graphicData>
            </a:graphic>
          </wp:anchor>
        </w:drawing>
        <w:drawing>
          <wp:anchor simplePos="0" relativeHeight="251657728" behindDoc="1" locked="0" layoutInCell="0" allowOverlap="1">
            <wp:simplePos x="0" y="0"/>
            <wp:positionH relativeFrom="page">
              <wp:posOffset>1160145</wp:posOffset>
            </wp:positionH>
            <wp:positionV relativeFrom="page">
              <wp:posOffset>6726555</wp:posOffset>
            </wp:positionV>
            <wp:extent cx="95250" cy="996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5250" cy="99695"/>
                    </a:xfrm>
                    <a:prstGeom prst="rect">
                      <a:avLst/>
                    </a:prstGeom>
                    <a:noFill/>
                  </pic:spPr>
                </pic:pic>
              </a:graphicData>
            </a:graphic>
          </wp:anchor>
        </w:drawing>
        <w:drawing>
          <wp:anchor simplePos="0" relativeHeight="251657728" behindDoc="1" locked="0" layoutInCell="0" allowOverlap="1">
            <wp:simplePos x="0" y="0"/>
            <wp:positionH relativeFrom="page">
              <wp:posOffset>1416050</wp:posOffset>
            </wp:positionH>
            <wp:positionV relativeFrom="page">
              <wp:posOffset>6726555</wp:posOffset>
            </wp:positionV>
            <wp:extent cx="251460" cy="100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1460" cy="100330"/>
                    </a:xfrm>
                    <a:prstGeom prst="rect">
                      <a:avLst/>
                    </a:prstGeom>
                    <a:noFill/>
                  </pic:spPr>
                </pic:pic>
              </a:graphicData>
            </a:graphic>
          </wp:anchor>
        </w:drawing>
        <w:drawing>
          <wp:anchor simplePos="0" relativeHeight="251657728" behindDoc="1" locked="0" layoutInCell="0" allowOverlap="1">
            <wp:simplePos x="0" y="0"/>
            <wp:positionH relativeFrom="page">
              <wp:posOffset>3227705</wp:posOffset>
            </wp:positionH>
            <wp:positionV relativeFrom="page">
              <wp:posOffset>1266190</wp:posOffset>
            </wp:positionV>
            <wp:extent cx="1610995" cy="783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10995" cy="78359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900430</wp:posOffset>
            </wp:positionH>
            <wp:positionV relativeFrom="page">
              <wp:posOffset>900430</wp:posOffset>
            </wp:positionV>
            <wp:extent cx="5999480" cy="3625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99480" cy="362521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3295015</wp:posOffset>
            </wp:positionH>
            <wp:positionV relativeFrom="page">
              <wp:posOffset>929005</wp:posOffset>
            </wp:positionV>
            <wp:extent cx="1182370" cy="100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82370" cy="100330"/>
                    </a:xfrm>
                    <a:prstGeom prst="rect">
                      <a:avLst/>
                    </a:prstGeom>
                    <a:noFill/>
                  </pic:spPr>
                </pic:pic>
              </a:graphicData>
            </a:graphic>
          </wp:anchor>
        </w:drawing>
        <w:drawing>
          <wp:anchor simplePos="0" relativeHeight="251657728" behindDoc="1" locked="0" layoutInCell="0" allowOverlap="1">
            <wp:simplePos x="0" y="0"/>
            <wp:positionH relativeFrom="page">
              <wp:posOffset>5551170</wp:posOffset>
            </wp:positionH>
            <wp:positionV relativeFrom="page">
              <wp:posOffset>1104265</wp:posOffset>
            </wp:positionV>
            <wp:extent cx="1306830" cy="100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6830" cy="100330"/>
                    </a:xfrm>
                    <a:prstGeom prst="rect">
                      <a:avLst/>
                    </a:prstGeom>
                    <a:noFill/>
                  </pic:spPr>
                </pic:pic>
              </a:graphicData>
            </a:graphic>
          </wp:anchor>
        </w:drawing>
        <w:drawing>
          <wp:anchor simplePos="0" relativeHeight="251657728" behindDoc="1" locked="0" layoutInCell="0" allowOverlap="1">
            <wp:simplePos x="0" y="0"/>
            <wp:positionH relativeFrom="page">
              <wp:posOffset>6795770</wp:posOffset>
            </wp:positionH>
            <wp:positionV relativeFrom="page">
              <wp:posOffset>1280795</wp:posOffset>
            </wp:positionV>
            <wp:extent cx="70485" cy="984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485" cy="98425"/>
                    </a:xfrm>
                    <a:prstGeom prst="rect">
                      <a:avLst/>
                    </a:prstGeom>
                    <a:noFill/>
                  </pic:spPr>
                </pic:pic>
              </a:graphicData>
            </a:graphic>
          </wp:anchor>
        </w:drawing>
        <w:drawing>
          <wp:anchor simplePos="0" relativeHeight="251657728" behindDoc="1" locked="0" layoutInCell="0" allowOverlap="1">
            <wp:simplePos x="0" y="0"/>
            <wp:positionH relativeFrom="page">
              <wp:posOffset>5487035</wp:posOffset>
            </wp:positionH>
            <wp:positionV relativeFrom="page">
              <wp:posOffset>1454785</wp:posOffset>
            </wp:positionV>
            <wp:extent cx="1379220" cy="100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9220" cy="100330"/>
                    </a:xfrm>
                    <a:prstGeom prst="rect">
                      <a:avLst/>
                    </a:prstGeom>
                    <a:noFill/>
                  </pic:spPr>
                </pic:pic>
              </a:graphicData>
            </a:graphic>
          </wp:anchor>
        </w:drawing>
        <w:drawing>
          <wp:anchor simplePos="0" relativeHeight="251657728" behindDoc="1" locked="0" layoutInCell="0" allowOverlap="1">
            <wp:simplePos x="0" y="0"/>
            <wp:positionH relativeFrom="page">
              <wp:posOffset>6749415</wp:posOffset>
            </wp:positionH>
            <wp:positionV relativeFrom="page">
              <wp:posOffset>1628775</wp:posOffset>
            </wp:positionV>
            <wp:extent cx="113030" cy="996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3030" cy="99695"/>
                    </a:xfrm>
                    <a:prstGeom prst="rect">
                      <a:avLst/>
                    </a:prstGeom>
                    <a:noFill/>
                  </pic:spPr>
                </pic:pic>
              </a:graphicData>
            </a:graphic>
          </wp:anchor>
        </w:drawing>
        <w:drawing>
          <wp:anchor simplePos="0" relativeHeight="251657728" behindDoc="1" locked="0" layoutInCell="0" allowOverlap="1">
            <wp:simplePos x="0" y="0"/>
            <wp:positionH relativeFrom="page">
              <wp:posOffset>6749415</wp:posOffset>
            </wp:positionH>
            <wp:positionV relativeFrom="page">
              <wp:posOffset>1804035</wp:posOffset>
            </wp:positionV>
            <wp:extent cx="114935" cy="100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935" cy="100330"/>
                    </a:xfrm>
                    <a:prstGeom prst="rect">
                      <a:avLst/>
                    </a:prstGeom>
                    <a:noFill/>
                  </pic:spPr>
                </pic:pic>
              </a:graphicData>
            </a:graphic>
          </wp:anchor>
        </w:drawing>
        <w:drawing>
          <wp:anchor simplePos="0" relativeHeight="251657728" behindDoc="1" locked="0" layoutInCell="0" allowOverlap="1">
            <wp:simplePos x="0" y="0"/>
            <wp:positionH relativeFrom="page">
              <wp:posOffset>6217285</wp:posOffset>
            </wp:positionH>
            <wp:positionV relativeFrom="page">
              <wp:posOffset>2040255</wp:posOffset>
            </wp:positionV>
            <wp:extent cx="326390"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6390" cy="39370"/>
                    </a:xfrm>
                    <a:prstGeom prst="rect">
                      <a:avLst/>
                    </a:prstGeom>
                    <a:noFill/>
                  </pic:spPr>
                </pic:pic>
              </a:graphicData>
            </a:graphic>
          </wp:anchor>
        </w:drawing>
        <w:drawing>
          <wp:anchor simplePos="0" relativeHeight="251657728" behindDoc="1" locked="0" layoutInCell="0" allowOverlap="1">
            <wp:simplePos x="0" y="0"/>
            <wp:positionH relativeFrom="page">
              <wp:posOffset>6749415</wp:posOffset>
            </wp:positionH>
            <wp:positionV relativeFrom="page">
              <wp:posOffset>1979295</wp:posOffset>
            </wp:positionV>
            <wp:extent cx="113665" cy="996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3665" cy="99695"/>
                    </a:xfrm>
                    <a:prstGeom prst="rect">
                      <a:avLst/>
                    </a:prstGeom>
                    <a:noFill/>
                  </pic:spPr>
                </pic:pic>
              </a:graphicData>
            </a:graphic>
          </wp:anchor>
        </w:drawing>
        <w:drawing>
          <wp:anchor simplePos="0" relativeHeight="251657728" behindDoc="1" locked="0" layoutInCell="0" allowOverlap="1">
            <wp:simplePos x="0" y="0"/>
            <wp:positionH relativeFrom="page">
              <wp:posOffset>4979670</wp:posOffset>
            </wp:positionH>
            <wp:positionV relativeFrom="page">
              <wp:posOffset>2154555</wp:posOffset>
            </wp:positionV>
            <wp:extent cx="1885315" cy="100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5315" cy="100330"/>
                    </a:xfrm>
                    <a:prstGeom prst="rect">
                      <a:avLst/>
                    </a:prstGeom>
                    <a:noFill/>
                  </pic:spPr>
                </pic:pic>
              </a:graphicData>
            </a:graphic>
          </wp:anchor>
        </w:drawing>
        <w:drawing>
          <wp:anchor simplePos="0" relativeHeight="251657728" behindDoc="1" locked="0" layoutInCell="0" allowOverlap="1">
            <wp:simplePos x="0" y="0"/>
            <wp:positionH relativeFrom="page">
              <wp:posOffset>6739255</wp:posOffset>
            </wp:positionH>
            <wp:positionV relativeFrom="page">
              <wp:posOffset>2327910</wp:posOffset>
            </wp:positionV>
            <wp:extent cx="116840" cy="984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6840" cy="98425"/>
                    </a:xfrm>
                    <a:prstGeom prst="rect">
                      <a:avLst/>
                    </a:prstGeom>
                    <a:noFill/>
                  </pic:spPr>
                </pic:pic>
              </a:graphicData>
            </a:graphic>
          </wp:anchor>
        </w:drawing>
        <w:drawing>
          <wp:anchor simplePos="0" relativeHeight="251657728" behindDoc="1" locked="0" layoutInCell="0" allowOverlap="1">
            <wp:simplePos x="0" y="0"/>
            <wp:positionH relativeFrom="page">
              <wp:posOffset>6739255</wp:posOffset>
            </wp:positionH>
            <wp:positionV relativeFrom="page">
              <wp:posOffset>2503170</wp:posOffset>
            </wp:positionV>
            <wp:extent cx="125730" cy="98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5730" cy="98425"/>
                    </a:xfrm>
                    <a:prstGeom prst="rect">
                      <a:avLst/>
                    </a:prstGeom>
                    <a:noFill/>
                  </pic:spPr>
                </pic:pic>
              </a:graphicData>
            </a:graphic>
          </wp:anchor>
        </w:drawing>
        <w:drawing>
          <wp:anchor simplePos="0" relativeHeight="251657728" behindDoc="1" locked="0" layoutInCell="0" allowOverlap="1">
            <wp:simplePos x="0" y="0"/>
            <wp:positionH relativeFrom="page">
              <wp:posOffset>6739255</wp:posOffset>
            </wp:positionH>
            <wp:positionV relativeFrom="page">
              <wp:posOffset>2678430</wp:posOffset>
            </wp:positionV>
            <wp:extent cx="125095" cy="100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5095" cy="100330"/>
                    </a:xfrm>
                    <a:prstGeom prst="rect">
                      <a:avLst/>
                    </a:prstGeom>
                    <a:noFill/>
                  </pic:spPr>
                </pic:pic>
              </a:graphicData>
            </a:graphic>
          </wp:anchor>
        </w:drawing>
        <w:drawing>
          <wp:anchor simplePos="0" relativeHeight="251657728" behindDoc="1" locked="0" layoutInCell="0" allowOverlap="1">
            <wp:simplePos x="0" y="0"/>
            <wp:positionH relativeFrom="page">
              <wp:posOffset>6739255</wp:posOffset>
            </wp:positionH>
            <wp:positionV relativeFrom="page">
              <wp:posOffset>2853690</wp:posOffset>
            </wp:positionV>
            <wp:extent cx="125730" cy="100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5730" cy="100330"/>
                    </a:xfrm>
                    <a:prstGeom prst="rect">
                      <a:avLst/>
                    </a:prstGeom>
                    <a:noFill/>
                  </pic:spPr>
                </pic:pic>
              </a:graphicData>
            </a:graphic>
          </wp:anchor>
        </w:drawing>
        <w:drawing>
          <wp:anchor simplePos="0" relativeHeight="251657728" behindDoc="1" locked="0" layoutInCell="0" allowOverlap="1">
            <wp:simplePos x="0" y="0"/>
            <wp:positionH relativeFrom="page">
              <wp:posOffset>6741160</wp:posOffset>
            </wp:positionH>
            <wp:positionV relativeFrom="page">
              <wp:posOffset>3035300</wp:posOffset>
            </wp:positionV>
            <wp:extent cx="124460" cy="996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4460" cy="99695"/>
                    </a:xfrm>
                    <a:prstGeom prst="rect">
                      <a:avLst/>
                    </a:prstGeom>
                    <a:noFill/>
                  </pic:spPr>
                </pic:pic>
              </a:graphicData>
            </a:graphic>
          </wp:anchor>
        </w:drawing>
        <w:drawing>
          <wp:anchor simplePos="0" relativeHeight="251657728" behindDoc="1" locked="0" layoutInCell="0" allowOverlap="1">
            <wp:simplePos x="0" y="0"/>
            <wp:positionH relativeFrom="page">
              <wp:posOffset>905510</wp:posOffset>
            </wp:positionH>
            <wp:positionV relativeFrom="page">
              <wp:posOffset>3210560</wp:posOffset>
            </wp:positionV>
            <wp:extent cx="906780" cy="100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06780" cy="100330"/>
                    </a:xfrm>
                    <a:prstGeom prst="rect">
                      <a:avLst/>
                    </a:prstGeom>
                    <a:noFill/>
                  </pic:spPr>
                </pic:pic>
              </a:graphicData>
            </a:graphic>
          </wp:anchor>
        </w:drawing>
        <w:drawing>
          <wp:anchor simplePos="0" relativeHeight="251657728" behindDoc="1" locked="0" layoutInCell="0" allowOverlap="1">
            <wp:simplePos x="0" y="0"/>
            <wp:positionH relativeFrom="page">
              <wp:posOffset>6741160</wp:posOffset>
            </wp:positionH>
            <wp:positionV relativeFrom="page">
              <wp:posOffset>3210560</wp:posOffset>
            </wp:positionV>
            <wp:extent cx="114935" cy="996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4935" cy="99695"/>
                    </a:xfrm>
                    <a:prstGeom prst="rect">
                      <a:avLst/>
                    </a:prstGeom>
                    <a:noFill/>
                  </pic:spPr>
                </pic:pic>
              </a:graphicData>
            </a:graphic>
          </wp:anchor>
        </w:drawing>
        <w:drawing>
          <wp:anchor simplePos="0" relativeHeight="251657728" behindDoc="1" locked="0" layoutInCell="0" allowOverlap="1">
            <wp:simplePos x="0" y="0"/>
            <wp:positionH relativeFrom="page">
              <wp:posOffset>6741160</wp:posOffset>
            </wp:positionH>
            <wp:positionV relativeFrom="page">
              <wp:posOffset>3385820</wp:posOffset>
            </wp:positionV>
            <wp:extent cx="114935" cy="996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4935" cy="9969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 w:name="page6"/>
    <w:bookmarkEnd w:id="5"/>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3959225</wp:posOffset>
            </wp:positionH>
            <wp:positionV relativeFrom="page">
              <wp:posOffset>9492615</wp:posOffset>
            </wp:positionV>
            <wp:extent cx="53975" cy="984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975" cy="98425"/>
                    </a:xfrm>
                    <a:prstGeom prst="rect">
                      <a:avLst/>
                    </a:prstGeom>
                    <a:noFill/>
                  </pic:spPr>
                </pic:pic>
              </a:graphicData>
            </a:graphic>
          </wp:anchor>
        </w:drawing>
        <w:drawing>
          <wp:anchor simplePos="0" relativeHeight="251657728" behindDoc="1" locked="0" layoutInCell="0" allowOverlap="1">
            <wp:simplePos x="0" y="0"/>
            <wp:positionH relativeFrom="page">
              <wp:posOffset>6380480</wp:posOffset>
            </wp:positionH>
            <wp:positionV relativeFrom="page">
              <wp:posOffset>1822450</wp:posOffset>
            </wp:positionV>
            <wp:extent cx="3683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830" cy="36830"/>
                    </a:xfrm>
                    <a:prstGeom prst="rect">
                      <a:avLst/>
                    </a:prstGeom>
                    <a:noFill/>
                  </pic:spPr>
                </pic:pic>
              </a:graphicData>
            </a:graphic>
          </wp:anchor>
        </w:drawing>
        <w:drawing>
          <wp:anchor simplePos="0" relativeHeight="251657728" behindDoc="1" locked="0" layoutInCell="0" allowOverlap="1">
            <wp:simplePos x="0" y="0"/>
            <wp:positionH relativeFrom="page">
              <wp:posOffset>1438910</wp:posOffset>
            </wp:positionH>
            <wp:positionV relativeFrom="page">
              <wp:posOffset>8691880</wp:posOffset>
            </wp:positionV>
            <wp:extent cx="601980" cy="102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1980" cy="1022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3949065</wp:posOffset>
            </wp:positionH>
            <wp:positionV relativeFrom="page">
              <wp:posOffset>9492615</wp:posOffset>
            </wp:positionV>
            <wp:extent cx="72390" cy="984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90" cy="98425"/>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3082290</wp:posOffset>
            </wp:positionV>
            <wp:extent cx="899795" cy="102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99795" cy="102235"/>
                    </a:xfrm>
                    <a:prstGeom prst="rect">
                      <a:avLst/>
                    </a:prstGeom>
                    <a:noFill/>
                  </pic:spPr>
                </pic:pic>
              </a:graphicData>
            </a:graphic>
          </wp:anchor>
        </w:drawing>
        <w:drawing>
          <wp:anchor simplePos="0" relativeHeight="251657728" behindDoc="1" locked="0" layoutInCell="0" allowOverlap="1">
            <wp:simplePos x="0" y="0"/>
            <wp:positionH relativeFrom="page">
              <wp:posOffset>904240</wp:posOffset>
            </wp:positionH>
            <wp:positionV relativeFrom="page">
              <wp:posOffset>4206875</wp:posOffset>
            </wp:positionV>
            <wp:extent cx="716280" cy="1003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 cy="100330"/>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6219825</wp:posOffset>
            </wp:positionV>
            <wp:extent cx="711200" cy="1238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200" cy="123825"/>
                    </a:xfrm>
                    <a:prstGeom prst="rect">
                      <a:avLst/>
                    </a:prstGeom>
                    <a:noFill/>
                  </pic:spPr>
                </pic:pic>
              </a:graphicData>
            </a:graphic>
          </wp:anchor>
        </w:drawing>
        <w:drawing>
          <wp:anchor simplePos="0" relativeHeight="251657728" behindDoc="1" locked="0" layoutInCell="0" allowOverlap="1">
            <wp:simplePos x="0" y="0"/>
            <wp:positionH relativeFrom="page">
              <wp:posOffset>1359535</wp:posOffset>
            </wp:positionH>
            <wp:positionV relativeFrom="page">
              <wp:posOffset>6748780</wp:posOffset>
            </wp:positionV>
            <wp:extent cx="733425" cy="1238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3425" cy="12382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3950970</wp:posOffset>
            </wp:positionH>
            <wp:positionV relativeFrom="page">
              <wp:posOffset>9492615</wp:posOffset>
            </wp:positionV>
            <wp:extent cx="66040" cy="996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040" cy="99695"/>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2355215</wp:posOffset>
            </wp:positionV>
            <wp:extent cx="402590" cy="1238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2590" cy="12382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3948430</wp:posOffset>
            </wp:positionH>
            <wp:positionV relativeFrom="page">
              <wp:posOffset>9492615</wp:posOffset>
            </wp:positionV>
            <wp:extent cx="74295" cy="984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4295" cy="98425"/>
                    </a:xfrm>
                    <a:prstGeom prst="rect">
                      <a:avLst/>
                    </a:prstGeom>
                    <a:noFill/>
                  </pic:spPr>
                </pic:pic>
              </a:graphicData>
            </a:graphic>
          </wp:anchor>
        </w:drawing>
        <w:drawing>
          <wp:anchor simplePos="0" relativeHeight="251657728" behindDoc="1" locked="0" layoutInCell="0" allowOverlap="1">
            <wp:simplePos x="0" y="0"/>
            <wp:positionH relativeFrom="page">
              <wp:posOffset>905510</wp:posOffset>
            </wp:positionH>
            <wp:positionV relativeFrom="page">
              <wp:posOffset>7766685</wp:posOffset>
            </wp:positionV>
            <wp:extent cx="382905" cy="102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2905" cy="1022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3951605</wp:posOffset>
            </wp:positionH>
            <wp:positionV relativeFrom="page">
              <wp:posOffset>9493885</wp:posOffset>
            </wp:positionV>
            <wp:extent cx="67310" cy="984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98425"/>
                    </a:xfrm>
                    <a:prstGeom prst="rect">
                      <a:avLst/>
                    </a:prstGeom>
                    <a:noFill/>
                  </pic:spPr>
                </pic:pic>
              </a:graphicData>
            </a:graphic>
          </wp:anchor>
        </w:drawing>
        <w:drawing>
          <wp:anchor simplePos="0" relativeHeight="251657728" behindDoc="1" locked="0" layoutInCell="0" allowOverlap="1">
            <wp:simplePos x="0" y="0"/>
            <wp:positionH relativeFrom="page">
              <wp:posOffset>902335</wp:posOffset>
            </wp:positionH>
            <wp:positionV relativeFrom="page">
              <wp:posOffset>4781550</wp:posOffset>
            </wp:positionV>
            <wp:extent cx="457200" cy="1238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7200" cy="123825"/>
                    </a:xfrm>
                    <a:prstGeom prst="rect">
                      <a:avLst/>
                    </a:prstGeom>
                    <a:noFill/>
                  </pic:spPr>
                </pic:pic>
              </a:graphicData>
            </a:graphic>
          </wp:anchor>
        </w:drawing>
        <w:drawing>
          <wp:anchor simplePos="0" relativeHeight="251657728" behindDoc="1" locked="0" layoutInCell="0" allowOverlap="1">
            <wp:simplePos x="0" y="0"/>
            <wp:positionH relativeFrom="page">
              <wp:posOffset>902970</wp:posOffset>
            </wp:positionH>
            <wp:positionV relativeFrom="page">
              <wp:posOffset>8053705</wp:posOffset>
            </wp:positionV>
            <wp:extent cx="363855" cy="112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3855" cy="112395"/>
                    </a:xfrm>
                    <a:prstGeom prst="rect">
                      <a:avLst/>
                    </a:prstGeom>
                    <a:noFill/>
                  </pic:spPr>
                </pic:pic>
              </a:graphicData>
            </a:graphic>
          </wp:anchor>
        </w:drawing>
        <w:drawing>
          <wp:anchor simplePos="0" relativeHeight="251657728" behindDoc="1" locked="0" layoutInCell="0" allowOverlap="1">
            <wp:simplePos x="0" y="0"/>
            <wp:positionH relativeFrom="page">
              <wp:posOffset>4646930</wp:posOffset>
            </wp:positionH>
            <wp:positionV relativeFrom="page">
              <wp:posOffset>8053705</wp:posOffset>
            </wp:positionV>
            <wp:extent cx="78740" cy="749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8740" cy="7493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3951605</wp:posOffset>
            </wp:positionH>
            <wp:positionV relativeFrom="page">
              <wp:posOffset>9492615</wp:posOffset>
            </wp:positionV>
            <wp:extent cx="70485" cy="996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485" cy="99695"/>
                    </a:xfrm>
                    <a:prstGeom prst="rect">
                      <a:avLst/>
                    </a:prstGeom>
                    <a:noFill/>
                  </pic:spPr>
                </pic:pic>
              </a:graphicData>
            </a:graphic>
          </wp:anchor>
        </w:drawing>
        <w:drawing>
          <wp:anchor simplePos="0" relativeHeight="251657728" behindDoc="1" locked="0" layoutInCell="0" allowOverlap="1">
            <wp:simplePos x="0" y="0"/>
            <wp:positionH relativeFrom="page">
              <wp:posOffset>902970</wp:posOffset>
            </wp:positionH>
            <wp:positionV relativeFrom="page">
              <wp:posOffset>4496435</wp:posOffset>
            </wp:positionV>
            <wp:extent cx="709930" cy="102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930" cy="102235"/>
                    </a:xfrm>
                    <a:prstGeom prst="rect">
                      <a:avLst/>
                    </a:prstGeom>
                    <a:noFill/>
                  </pic:spPr>
                </pic:pic>
              </a:graphicData>
            </a:graphic>
          </wp:anchor>
        </w:drawing>
        <w:drawing>
          <wp:anchor simplePos="0" relativeHeight="251657728" behindDoc="1" locked="0" layoutInCell="0" allowOverlap="1">
            <wp:simplePos x="0" y="0"/>
            <wp:positionH relativeFrom="page">
              <wp:posOffset>906780</wp:posOffset>
            </wp:positionH>
            <wp:positionV relativeFrom="page">
              <wp:posOffset>5927090</wp:posOffset>
            </wp:positionV>
            <wp:extent cx="480060" cy="1238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0060" cy="12382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3950970</wp:posOffset>
            </wp:positionH>
            <wp:positionV relativeFrom="page">
              <wp:posOffset>9493885</wp:posOffset>
            </wp:positionV>
            <wp:extent cx="70485" cy="984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485" cy="98425"/>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5397500</wp:posOffset>
            </wp:positionV>
            <wp:extent cx="6170295" cy="436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0295" cy="436880"/>
                    </a:xfrm>
                    <a:prstGeom prst="rect">
                      <a:avLst/>
                    </a:prstGeom>
                    <a:noFill/>
                  </pic:spPr>
                </pic:pic>
              </a:graphicData>
            </a:graphic>
          </wp:anchor>
        </w:drawing>
        <w:drawing>
          <wp:anchor simplePos="0" relativeHeight="251657728" behindDoc="1" locked="0" layoutInCell="0" allowOverlap="1">
            <wp:simplePos x="0" y="0"/>
            <wp:positionH relativeFrom="page">
              <wp:posOffset>915035</wp:posOffset>
            </wp:positionH>
            <wp:positionV relativeFrom="page">
              <wp:posOffset>5985510</wp:posOffset>
            </wp:positionV>
            <wp:extent cx="809625" cy="1231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09625" cy="123190"/>
                    </a:xfrm>
                    <a:prstGeom prst="rect">
                      <a:avLst/>
                    </a:prstGeom>
                    <a:noFill/>
                  </pic:spPr>
                </pic:pic>
              </a:graphicData>
            </a:graphic>
          </wp:anchor>
        </w:drawing>
        <w:drawing>
          <wp:anchor simplePos="0" relativeHeight="251657728" behindDoc="1" locked="0" layoutInCell="0" allowOverlap="1">
            <wp:simplePos x="0" y="0"/>
            <wp:positionH relativeFrom="page">
              <wp:posOffset>897890</wp:posOffset>
            </wp:positionH>
            <wp:positionV relativeFrom="page">
              <wp:posOffset>7489190</wp:posOffset>
            </wp:positionV>
            <wp:extent cx="920115" cy="1238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20115" cy="12382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3953510</wp:posOffset>
            </wp:positionH>
            <wp:positionV relativeFrom="page">
              <wp:posOffset>9492615</wp:posOffset>
            </wp:positionV>
            <wp:extent cx="66675" cy="996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675" cy="99695"/>
                    </a:xfrm>
                    <a:prstGeom prst="rect">
                      <a:avLst/>
                    </a:prstGeom>
                    <a:noFill/>
                  </pic:spPr>
                </pic:pic>
              </a:graphicData>
            </a:graphic>
          </wp:anchor>
        </w:drawing>
        <w:drawing>
          <wp:anchor simplePos="0" relativeHeight="251657728" behindDoc="1" locked="0" layoutInCell="0" allowOverlap="1">
            <wp:simplePos x="0" y="0"/>
            <wp:positionH relativeFrom="page">
              <wp:posOffset>898525</wp:posOffset>
            </wp:positionH>
            <wp:positionV relativeFrom="page">
              <wp:posOffset>1635760</wp:posOffset>
            </wp:positionV>
            <wp:extent cx="806450" cy="101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06450" cy="101600"/>
                    </a:xfrm>
                    <a:prstGeom prst="rect">
                      <a:avLst/>
                    </a:prstGeom>
                    <a:noFill/>
                  </pic:spPr>
                </pic:pic>
              </a:graphicData>
            </a:graphic>
          </wp:anchor>
        </w:drawing>
        <w:drawing>
          <wp:anchor simplePos="0" relativeHeight="251657728" behindDoc="1" locked="0" layoutInCell="0" allowOverlap="1">
            <wp:simplePos x="0" y="0"/>
            <wp:positionH relativeFrom="page">
              <wp:posOffset>898525</wp:posOffset>
            </wp:positionH>
            <wp:positionV relativeFrom="page">
              <wp:posOffset>2710180</wp:posOffset>
            </wp:positionV>
            <wp:extent cx="904240" cy="1143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04240" cy="114300"/>
                    </a:xfrm>
                    <a:prstGeom prst="rect">
                      <a:avLst/>
                    </a:prstGeom>
                    <a:noFill/>
                  </pic:spPr>
                </pic:pic>
              </a:graphicData>
            </a:graphic>
          </wp:anchor>
        </w:drawing>
        <w:drawing>
          <wp:anchor simplePos="0" relativeHeight="251657728" behindDoc="1" locked="0" layoutInCell="0" allowOverlap="1">
            <wp:simplePos x="0" y="0"/>
            <wp:positionH relativeFrom="page">
              <wp:posOffset>897890</wp:posOffset>
            </wp:positionH>
            <wp:positionV relativeFrom="page">
              <wp:posOffset>3865880</wp:posOffset>
            </wp:positionV>
            <wp:extent cx="631190" cy="984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1190" cy="98425"/>
                    </a:xfrm>
                    <a:prstGeom prst="rect">
                      <a:avLst/>
                    </a:prstGeom>
                    <a:noFill/>
                  </pic:spPr>
                </pic:pic>
              </a:graphicData>
            </a:graphic>
          </wp:anchor>
        </w:drawing>
        <w:drawing>
          <wp:anchor simplePos="0" relativeHeight="251657728" behindDoc="1" locked="0" layoutInCell="0" allowOverlap="1">
            <wp:simplePos x="0" y="0"/>
            <wp:positionH relativeFrom="page">
              <wp:posOffset>904875</wp:posOffset>
            </wp:positionH>
            <wp:positionV relativeFrom="page">
              <wp:posOffset>5003800</wp:posOffset>
            </wp:positionV>
            <wp:extent cx="197485" cy="102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7485" cy="1022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3950970</wp:posOffset>
            </wp:positionH>
            <wp:positionV relativeFrom="page">
              <wp:posOffset>9492615</wp:posOffset>
            </wp:positionV>
            <wp:extent cx="70485" cy="1003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485" cy="100330"/>
                    </a:xfrm>
                    <a:prstGeom prst="rect">
                      <a:avLst/>
                    </a:prstGeom>
                    <a:noFill/>
                  </pic:spPr>
                </pic:pic>
              </a:graphicData>
            </a:graphic>
          </wp:anchor>
        </w:drawing>
        <w:drawing>
          <wp:anchor simplePos="0" relativeHeight="251657728" behindDoc="1" locked="0" layoutInCell="0" allowOverlap="1">
            <wp:simplePos x="0" y="0"/>
            <wp:positionH relativeFrom="page">
              <wp:posOffset>4337050</wp:posOffset>
            </wp:positionH>
            <wp:positionV relativeFrom="page">
              <wp:posOffset>3022600</wp:posOffset>
            </wp:positionV>
            <wp:extent cx="66675" cy="52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675" cy="527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3933190</wp:posOffset>
            </wp:positionH>
            <wp:positionV relativeFrom="page">
              <wp:posOffset>9492615</wp:posOffset>
            </wp:positionV>
            <wp:extent cx="116205" cy="996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6205" cy="99695"/>
                    </a:xfrm>
                    <a:prstGeom prst="rect">
                      <a:avLst/>
                    </a:prstGeom>
                    <a:noFill/>
                  </pic:spPr>
                </pic:pic>
              </a:graphicData>
            </a:graphic>
          </wp:anchor>
        </w:drawing>
        <w:drawing>
          <wp:anchor simplePos="0" relativeHeight="251657728" behindDoc="1" locked="0" layoutInCell="0" allowOverlap="1">
            <wp:simplePos x="0" y="0"/>
            <wp:positionH relativeFrom="page">
              <wp:posOffset>904240</wp:posOffset>
            </wp:positionH>
            <wp:positionV relativeFrom="page">
              <wp:posOffset>4088130</wp:posOffset>
            </wp:positionV>
            <wp:extent cx="721360" cy="1219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360" cy="121920"/>
                    </a:xfrm>
                    <a:prstGeom prst="rect">
                      <a:avLst/>
                    </a:prstGeom>
                    <a:noFill/>
                  </pic:spPr>
                </pic:pic>
              </a:graphicData>
            </a:graphic>
          </wp:anchor>
        </w:drawing>
        <w:drawing>
          <wp:anchor simplePos="0" relativeHeight="251657728" behindDoc="1" locked="0" layoutInCell="0" allowOverlap="1">
            <wp:simplePos x="0" y="0"/>
            <wp:positionH relativeFrom="page">
              <wp:posOffset>902970</wp:posOffset>
            </wp:positionH>
            <wp:positionV relativeFrom="page">
              <wp:posOffset>6628130</wp:posOffset>
            </wp:positionV>
            <wp:extent cx="434340" cy="1238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4340" cy="123825"/>
                    </a:xfrm>
                    <a:prstGeom prst="rect">
                      <a:avLst/>
                    </a:prstGeom>
                    <a:noFill/>
                  </pic:spPr>
                </pic:pic>
              </a:graphicData>
            </a:graphic>
          </wp:anchor>
        </w:drawing>
        <w:drawing>
          <wp:anchor simplePos="0" relativeHeight="251657728" behindDoc="1" locked="0" layoutInCell="0" allowOverlap="1">
            <wp:simplePos x="0" y="0"/>
            <wp:positionH relativeFrom="page">
              <wp:posOffset>1217930</wp:posOffset>
            </wp:positionH>
            <wp:positionV relativeFrom="page">
              <wp:posOffset>7773670</wp:posOffset>
            </wp:positionV>
            <wp:extent cx="64135" cy="641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1217930</wp:posOffset>
            </wp:positionH>
            <wp:positionV relativeFrom="page">
              <wp:posOffset>7982585</wp:posOffset>
            </wp:positionV>
            <wp:extent cx="64135" cy="641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1217930</wp:posOffset>
            </wp:positionH>
            <wp:positionV relativeFrom="page">
              <wp:posOffset>8190230</wp:posOffset>
            </wp:positionV>
            <wp:extent cx="64135" cy="641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1217930</wp:posOffset>
            </wp:positionH>
            <wp:positionV relativeFrom="page">
              <wp:posOffset>8398510</wp:posOffset>
            </wp:positionV>
            <wp:extent cx="64135" cy="641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3933190</wp:posOffset>
            </wp:positionH>
            <wp:positionV relativeFrom="page">
              <wp:posOffset>9492615</wp:posOffset>
            </wp:positionV>
            <wp:extent cx="106680" cy="984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6680" cy="98425"/>
                    </a:xfrm>
                    <a:prstGeom prst="rect">
                      <a:avLst/>
                    </a:prstGeom>
                    <a:noFill/>
                  </pic:spPr>
                </pic:pic>
              </a:graphicData>
            </a:graphic>
          </wp:anchor>
        </w:drawing>
        <w:drawing>
          <wp:anchor simplePos="0" relativeHeight="251657728" behindDoc="1" locked="0" layoutInCell="0" allowOverlap="1">
            <wp:simplePos x="0" y="0"/>
            <wp:positionH relativeFrom="page">
              <wp:posOffset>904875</wp:posOffset>
            </wp:positionH>
            <wp:positionV relativeFrom="page">
              <wp:posOffset>2356485</wp:posOffset>
            </wp:positionV>
            <wp:extent cx="454660" cy="102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54660" cy="1022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3933190</wp:posOffset>
            </wp:positionH>
            <wp:positionV relativeFrom="page">
              <wp:posOffset>9492615</wp:posOffset>
            </wp:positionV>
            <wp:extent cx="115570" cy="984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5570" cy="98425"/>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1832610</wp:posOffset>
            </wp:positionV>
            <wp:extent cx="6171565" cy="9747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71565" cy="974725"/>
                    </a:xfrm>
                    <a:prstGeom prst="rect">
                      <a:avLst/>
                    </a:prstGeom>
                    <a:noFill/>
                  </pic:spPr>
                </pic:pic>
              </a:graphicData>
            </a:graphic>
          </wp:anchor>
        </w:drawing>
        <w:drawing>
          <wp:anchor simplePos="0" relativeHeight="251657728" behindDoc="1" locked="0" layoutInCell="0" allowOverlap="1">
            <wp:simplePos x="0" y="0"/>
            <wp:positionH relativeFrom="page">
              <wp:posOffset>895350</wp:posOffset>
            </wp:positionH>
            <wp:positionV relativeFrom="page">
              <wp:posOffset>5165725</wp:posOffset>
            </wp:positionV>
            <wp:extent cx="784860" cy="1003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84860" cy="100330"/>
                    </a:xfrm>
                    <a:prstGeom prst="rect">
                      <a:avLst/>
                    </a:prstGeom>
                    <a:noFill/>
                  </pic:spPr>
                </pic:pic>
              </a:graphicData>
            </a:graphic>
          </wp:anchor>
        </w:drawing>
        <w:drawing>
          <wp:anchor simplePos="0" relativeHeight="251657728" behindDoc="1" locked="0" layoutInCell="0" allowOverlap="1">
            <wp:simplePos x="0" y="0"/>
            <wp:positionH relativeFrom="page">
              <wp:posOffset>1136015</wp:posOffset>
            </wp:positionH>
            <wp:positionV relativeFrom="page">
              <wp:posOffset>7214235</wp:posOffset>
            </wp:positionV>
            <wp:extent cx="64135" cy="641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1136015</wp:posOffset>
            </wp:positionH>
            <wp:positionV relativeFrom="page">
              <wp:posOffset>7441565</wp:posOffset>
            </wp:positionV>
            <wp:extent cx="64135" cy="641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1136015</wp:posOffset>
            </wp:positionH>
            <wp:positionV relativeFrom="page">
              <wp:posOffset>7668895</wp:posOffset>
            </wp:positionV>
            <wp:extent cx="64135" cy="641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1136015</wp:posOffset>
            </wp:positionH>
            <wp:positionV relativeFrom="page">
              <wp:posOffset>7895590</wp:posOffset>
            </wp:positionV>
            <wp:extent cx="64135" cy="641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1136015</wp:posOffset>
            </wp:positionH>
            <wp:positionV relativeFrom="page">
              <wp:posOffset>8264525</wp:posOffset>
            </wp:positionV>
            <wp:extent cx="64135" cy="641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1136015</wp:posOffset>
            </wp:positionH>
            <wp:positionV relativeFrom="page">
              <wp:posOffset>8633460</wp:posOffset>
            </wp:positionV>
            <wp:extent cx="64135" cy="641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1136015</wp:posOffset>
            </wp:positionH>
            <wp:positionV relativeFrom="page">
              <wp:posOffset>8860155</wp:posOffset>
            </wp:positionV>
            <wp:extent cx="64135" cy="641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3933190</wp:posOffset>
            </wp:positionH>
            <wp:positionV relativeFrom="page">
              <wp:posOffset>9492615</wp:posOffset>
            </wp:positionV>
            <wp:extent cx="111125" cy="996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99695"/>
                    </a:xfrm>
                    <a:prstGeom prst="rect">
                      <a:avLst/>
                    </a:prstGeom>
                    <a:noFill/>
                  </pic:spPr>
                </pic:pic>
              </a:graphicData>
            </a:graphic>
          </wp:anchor>
        </w:drawing>
        <w:drawing>
          <wp:anchor simplePos="0" relativeHeight="251657728" behindDoc="1" locked="0" layoutInCell="0" allowOverlap="1">
            <wp:simplePos x="0" y="0"/>
            <wp:positionH relativeFrom="page">
              <wp:posOffset>1136015</wp:posOffset>
            </wp:positionH>
            <wp:positionV relativeFrom="page">
              <wp:posOffset>960120</wp:posOffset>
            </wp:positionV>
            <wp:extent cx="64135" cy="641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1136015</wp:posOffset>
            </wp:positionH>
            <wp:positionV relativeFrom="page">
              <wp:posOffset>1471930</wp:posOffset>
            </wp:positionV>
            <wp:extent cx="64135" cy="641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1136015</wp:posOffset>
            </wp:positionH>
            <wp:positionV relativeFrom="page">
              <wp:posOffset>1842770</wp:posOffset>
            </wp:positionV>
            <wp:extent cx="64135" cy="641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1136015</wp:posOffset>
            </wp:positionH>
            <wp:positionV relativeFrom="page">
              <wp:posOffset>3810000</wp:posOffset>
            </wp:positionV>
            <wp:extent cx="64135" cy="641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1136015</wp:posOffset>
            </wp:positionH>
            <wp:positionV relativeFrom="page">
              <wp:posOffset>4036695</wp:posOffset>
            </wp:positionV>
            <wp:extent cx="64135" cy="641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1136015</wp:posOffset>
            </wp:positionH>
            <wp:positionV relativeFrom="page">
              <wp:posOffset>4264025</wp:posOffset>
            </wp:positionV>
            <wp:extent cx="64135" cy="641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1136015</wp:posOffset>
            </wp:positionH>
            <wp:positionV relativeFrom="page">
              <wp:posOffset>4491355</wp:posOffset>
            </wp:positionV>
            <wp:extent cx="64135" cy="641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1136015</wp:posOffset>
            </wp:positionH>
            <wp:positionV relativeFrom="page">
              <wp:posOffset>5003165</wp:posOffset>
            </wp:positionV>
            <wp:extent cx="64135" cy="641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1136015</wp:posOffset>
            </wp:positionH>
            <wp:positionV relativeFrom="page">
              <wp:posOffset>5372100</wp:posOffset>
            </wp:positionV>
            <wp:extent cx="64135" cy="641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1217930</wp:posOffset>
            </wp:positionH>
            <wp:positionV relativeFrom="page">
              <wp:posOffset>6036310</wp:posOffset>
            </wp:positionV>
            <wp:extent cx="64135" cy="641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1217930</wp:posOffset>
            </wp:positionH>
            <wp:positionV relativeFrom="page">
              <wp:posOffset>6369050</wp:posOffset>
            </wp:positionV>
            <wp:extent cx="64135" cy="641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1136015</wp:posOffset>
            </wp:positionH>
            <wp:positionV relativeFrom="page">
              <wp:posOffset>8321040</wp:posOffset>
            </wp:positionV>
            <wp:extent cx="64135" cy="641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1136015</wp:posOffset>
            </wp:positionH>
            <wp:positionV relativeFrom="page">
              <wp:posOffset>8689975</wp:posOffset>
            </wp:positionV>
            <wp:extent cx="64135" cy="641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1443355</wp:posOffset>
            </wp:positionH>
            <wp:positionV relativeFrom="page">
              <wp:posOffset>8807450</wp:posOffset>
            </wp:positionV>
            <wp:extent cx="311150" cy="1187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1150" cy="11874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3933190</wp:posOffset>
            </wp:positionH>
            <wp:positionV relativeFrom="page">
              <wp:posOffset>9492615</wp:posOffset>
            </wp:positionV>
            <wp:extent cx="116205" cy="984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6205" cy="98425"/>
                    </a:xfrm>
                    <a:prstGeom prst="rect">
                      <a:avLst/>
                    </a:prstGeom>
                    <a:noFill/>
                  </pic:spPr>
                </pic:pic>
              </a:graphicData>
            </a:graphic>
          </wp:anchor>
        </w:drawing>
        <w:drawing>
          <wp:anchor simplePos="0" relativeHeight="251657728" behindDoc="1" locked="0" layoutInCell="0" allowOverlap="1">
            <wp:simplePos x="0" y="0"/>
            <wp:positionH relativeFrom="page">
              <wp:posOffset>1136015</wp:posOffset>
            </wp:positionH>
            <wp:positionV relativeFrom="page">
              <wp:posOffset>960120</wp:posOffset>
            </wp:positionV>
            <wp:extent cx="64135" cy="641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1136015</wp:posOffset>
            </wp:positionH>
            <wp:positionV relativeFrom="page">
              <wp:posOffset>1330325</wp:posOffset>
            </wp:positionV>
            <wp:extent cx="64135" cy="641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1136015</wp:posOffset>
            </wp:positionH>
            <wp:positionV relativeFrom="page">
              <wp:posOffset>1555750</wp:posOffset>
            </wp:positionV>
            <wp:extent cx="64135" cy="641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135" cy="64135"/>
                    </a:xfrm>
                    <a:prstGeom prst="rect">
                      <a:avLst/>
                    </a:prstGeom>
                    <a:noFill/>
                  </pic:spPr>
                </pic:pic>
              </a:graphicData>
            </a:graphic>
          </wp:anchor>
        </w:drawing>
        <w:drawing>
          <wp:anchor simplePos="0" relativeHeight="251657728" behindDoc="1" locked="0" layoutInCell="0" allowOverlap="1">
            <wp:simplePos x="0" y="0"/>
            <wp:positionH relativeFrom="page">
              <wp:posOffset>902335</wp:posOffset>
            </wp:positionH>
            <wp:positionV relativeFrom="page">
              <wp:posOffset>5994400</wp:posOffset>
            </wp:positionV>
            <wp:extent cx="375285" cy="1022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75285" cy="102235"/>
                    </a:xfrm>
                    <a:prstGeom prst="rect">
                      <a:avLst/>
                    </a:prstGeom>
                    <a:noFill/>
                  </pic:spPr>
                </pic:pic>
              </a:graphicData>
            </a:graphic>
          </wp:anchor>
        </w:drawing>
        <w:drawing>
          <wp:anchor simplePos="0" relativeHeight="251657728" behindDoc="1" locked="0" layoutInCell="0" allowOverlap="1">
            <wp:simplePos x="0" y="0"/>
            <wp:positionH relativeFrom="page">
              <wp:posOffset>905510</wp:posOffset>
            </wp:positionH>
            <wp:positionV relativeFrom="page">
              <wp:posOffset>7155815</wp:posOffset>
            </wp:positionV>
            <wp:extent cx="245745" cy="1022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5745" cy="102235"/>
                    </a:xfrm>
                    <a:prstGeom prst="rect">
                      <a:avLst/>
                    </a:prstGeom>
                    <a:noFill/>
                  </pic:spPr>
                </pic:pic>
              </a:graphicData>
            </a:graphic>
          </wp:anchor>
        </w:drawing>
        <w:drawing>
          <wp:anchor simplePos="0" relativeHeight="251657728" behindDoc="1" locked="0" layoutInCell="0" allowOverlap="1">
            <wp:simplePos x="0" y="0"/>
            <wp:positionH relativeFrom="page">
              <wp:posOffset>906780</wp:posOffset>
            </wp:positionH>
            <wp:positionV relativeFrom="page">
              <wp:posOffset>8460105</wp:posOffset>
            </wp:positionV>
            <wp:extent cx="584835" cy="1022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4835" cy="1022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3933190</wp:posOffset>
            </wp:positionH>
            <wp:positionV relativeFrom="page">
              <wp:posOffset>9492615</wp:posOffset>
            </wp:positionV>
            <wp:extent cx="113030" cy="996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3030" cy="99695"/>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1767205</wp:posOffset>
            </wp:positionV>
            <wp:extent cx="6173470" cy="56127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73470" cy="5612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900430</wp:posOffset>
            </wp:positionH>
            <wp:positionV relativeFrom="page">
              <wp:posOffset>1176020</wp:posOffset>
            </wp:positionV>
            <wp:extent cx="6171565" cy="558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71565" cy="558800"/>
                    </a:xfrm>
                    <a:prstGeom prst="rect">
                      <a:avLst/>
                    </a:prstGeom>
                    <a:noFill/>
                  </pic:spPr>
                </pic:pic>
              </a:graphicData>
            </a:graphic>
          </wp:anchor>
        </w:drawing>
        <w:drawing>
          <wp:anchor simplePos="0" relativeHeight="251657728" behindDoc="1" locked="0" layoutInCell="0" allowOverlap="1">
            <wp:simplePos x="0" y="0"/>
            <wp:positionH relativeFrom="page">
              <wp:posOffset>913130</wp:posOffset>
            </wp:positionH>
            <wp:positionV relativeFrom="page">
              <wp:posOffset>1047115</wp:posOffset>
            </wp:positionV>
            <wp:extent cx="6146165" cy="107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46165" cy="10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17" w:lineRule="exact"/>
        <w:rPr>
          <w:sz w:val="20"/>
          <w:szCs w:val="20"/>
          <w:color w:val="auto"/>
        </w:rPr>
      </w:pPr>
      <w:r>
        <w:rPr>
          <w:rFonts w:ascii="Arial" w:cs="Arial" w:eastAsia="Arial" w:hAnsi="Arial"/>
          <w:sz w:val="14"/>
          <w:szCs w:val="14"/>
          <w:b w:val="1"/>
          <w:bCs w:val="1"/>
          <w:color w:val="181818"/>
        </w:rPr>
        <w:t>In April 2025, we entered into a Consulting Agreement with Dr. Dupont that concluded in February 2026. Under this agreement, Dr. Dupont provided consulting services to us as a senior clinical advisor. As compensation for these services, we granted Dr. Dupont 1000 stock options with an exercise price of $5.44 per share and paid Dr. Dupont an agreed-upon hourly rate, plus reasonable and necessary expenses. In 2026 Dr. Dupont</w:t>
      </w:r>
      <w:r>
        <w:rPr>
          <w:rFonts w:ascii="PMingLiU" w:cs="PMingLiU" w:eastAsia="PMingLiU" w:hAnsi="PMingLiU"/>
          <w:sz w:val="14"/>
          <w:szCs w:val="14"/>
          <w:b w:val="1"/>
          <w:bCs w:val="1"/>
          <w:color w:val="181818"/>
        </w:rPr>
        <w:t></w:t>
      </w:r>
      <w:r>
        <w:rPr>
          <w:rFonts w:ascii="Arial" w:cs="Arial" w:eastAsia="Arial" w:hAnsi="Arial"/>
          <w:sz w:val="14"/>
          <w:szCs w:val="14"/>
          <w:b w:val="1"/>
          <w:bCs w:val="1"/>
          <w:color w:val="181818"/>
        </w:rPr>
        <w:t>s consulting compensation exceeded $120,000, and therefore Dr. Dupont is no longer considered an independent director under applicable Nasdaq listing standards. During the term of the consulting agreement, we paid Dr. Dupont an aggregate of $161,500.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3018790</wp:posOffset>
            </wp:positionH>
            <wp:positionV relativeFrom="paragraph">
              <wp:posOffset>2962275</wp:posOffset>
            </wp:positionV>
            <wp:extent cx="115570" cy="996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5570" cy="99695"/>
                    </a:xfrm>
                    <a:prstGeom prst="rect">
                      <a:avLst/>
                    </a:prstGeom>
                    <a:noFill/>
                  </pic:spPr>
                </pic:pic>
              </a:graphicData>
            </a:graphic>
          </wp:anchor>
        </w:drawing>
      </w:r>
    </w:p>
    <w:p>
      <w:pPr>
        <w:sectPr>
          <w:pgSz w:w="12240" w:h="15840" w:orient="portrait"/>
          <w:cols w:equalWidth="0" w:num="1">
            <w:col w:w="9680"/>
          </w:cols>
          <w:pgMar w:left="1440" w:top="1440" w:right="1120" w:bottom="1440"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3933190</wp:posOffset>
            </wp:positionH>
            <wp:positionV relativeFrom="page">
              <wp:posOffset>9492615</wp:posOffset>
            </wp:positionV>
            <wp:extent cx="114935" cy="1003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4935" cy="100330"/>
                    </a:xfrm>
                    <a:prstGeom prst="rect">
                      <a:avLst/>
                    </a:prstGeom>
                    <a:noFill/>
                  </pic:spPr>
                </pic:pic>
              </a:graphicData>
            </a:graphic>
          </wp:anchor>
        </w:drawing>
        <w:drawing>
          <wp:anchor simplePos="0" relativeHeight="251657728" behindDoc="1" locked="0" layoutInCell="0" allowOverlap="1">
            <wp:simplePos x="0" y="0"/>
            <wp:positionH relativeFrom="page">
              <wp:posOffset>4763135</wp:posOffset>
            </wp:positionH>
            <wp:positionV relativeFrom="page">
              <wp:posOffset>3950970</wp:posOffset>
            </wp:positionV>
            <wp:extent cx="1091565" cy="1003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91565" cy="100330"/>
                    </a:xfrm>
                    <a:prstGeom prst="rect">
                      <a:avLst/>
                    </a:prstGeom>
                    <a:noFill/>
                  </pic:spPr>
                </pic:pic>
              </a:graphicData>
            </a:graphic>
          </wp:anchor>
        </w:drawing>
        <w:drawing>
          <wp:anchor simplePos="0" relativeHeight="251657728" behindDoc="1" locked="0" layoutInCell="0" allowOverlap="1">
            <wp:simplePos x="0" y="0"/>
            <wp:positionH relativeFrom="page">
              <wp:posOffset>4764405</wp:posOffset>
            </wp:positionH>
            <wp:positionV relativeFrom="page">
              <wp:posOffset>4396105</wp:posOffset>
            </wp:positionV>
            <wp:extent cx="597535" cy="984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7535" cy="98425"/>
                    </a:xfrm>
                    <a:prstGeom prst="rect">
                      <a:avLst/>
                    </a:prstGeom>
                    <a:noFill/>
                  </pic:spPr>
                </pic:pic>
              </a:graphicData>
            </a:graphic>
          </wp:anchor>
        </w:drawing>
        <w:drawing>
          <wp:anchor simplePos="0" relativeHeight="251657728" behindDoc="1" locked="0" layoutInCell="0" allowOverlap="1">
            <wp:simplePos x="0" y="0"/>
            <wp:positionH relativeFrom="page">
              <wp:posOffset>978535</wp:posOffset>
            </wp:positionH>
            <wp:positionV relativeFrom="page">
              <wp:posOffset>4702175</wp:posOffset>
            </wp:positionV>
            <wp:extent cx="653415" cy="1238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3415" cy="12382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3933190</wp:posOffset>
            </wp:positionH>
            <wp:positionV relativeFrom="page">
              <wp:posOffset>9492615</wp:posOffset>
            </wp:positionV>
            <wp:extent cx="113665" cy="996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3665" cy="99695"/>
                    </a:xfrm>
                    <a:prstGeom prst="rect">
                      <a:avLst/>
                    </a:prstGeom>
                    <a:noFill/>
                  </pic:spPr>
                </pic:pic>
              </a:graphicData>
            </a:graphic>
          </wp:anchor>
        </w:drawing>
        <w:drawing>
          <wp:anchor simplePos="0" relativeHeight="251657728" behindDoc="1" locked="0" layoutInCell="0" allowOverlap="1">
            <wp:simplePos x="0" y="0"/>
            <wp:positionH relativeFrom="page">
              <wp:posOffset>1822450</wp:posOffset>
            </wp:positionH>
            <wp:positionV relativeFrom="page">
              <wp:posOffset>4652010</wp:posOffset>
            </wp:positionV>
            <wp:extent cx="4329430" cy="8286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29430" cy="82867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3933190</wp:posOffset>
            </wp:positionH>
            <wp:positionV relativeFrom="page">
              <wp:posOffset>9492615</wp:posOffset>
            </wp:positionV>
            <wp:extent cx="115570" cy="1003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5570" cy="100330"/>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1717675</wp:posOffset>
            </wp:positionV>
            <wp:extent cx="6158865" cy="5615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58865" cy="5615305"/>
                    </a:xfrm>
                    <a:prstGeom prst="rect">
                      <a:avLst/>
                    </a:prstGeom>
                    <a:noFill/>
                  </pic:spPr>
                </pic:pic>
              </a:graphicData>
            </a:graphic>
          </wp:anchor>
        </w:drawing>
        <w:drawing>
          <wp:anchor simplePos="0" relativeHeight="251657728" behindDoc="1" locked="0" layoutInCell="0" allowOverlap="1">
            <wp:simplePos x="0" y="0"/>
            <wp:positionH relativeFrom="page">
              <wp:posOffset>1527810</wp:posOffset>
            </wp:positionH>
            <wp:positionV relativeFrom="page">
              <wp:posOffset>8713470</wp:posOffset>
            </wp:positionV>
            <wp:extent cx="309880" cy="1003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9880" cy="10033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3923030</wp:posOffset>
            </wp:positionH>
            <wp:positionV relativeFrom="page">
              <wp:posOffset>9492615</wp:posOffset>
            </wp:positionV>
            <wp:extent cx="126365" cy="996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6365" cy="99695"/>
                    </a:xfrm>
                    <a:prstGeom prst="rect">
                      <a:avLst/>
                    </a:prstGeom>
                    <a:noFill/>
                  </pic:spPr>
                </pic:pic>
              </a:graphicData>
            </a:graphic>
          </wp:anchor>
        </w:drawing>
        <w:drawing>
          <wp:anchor simplePos="0" relativeHeight="251657728" behindDoc="1" locked="0" layoutInCell="0" allowOverlap="1">
            <wp:simplePos x="0" y="0"/>
            <wp:positionH relativeFrom="page">
              <wp:posOffset>1525905</wp:posOffset>
            </wp:positionH>
            <wp:positionV relativeFrom="page">
              <wp:posOffset>3781425</wp:posOffset>
            </wp:positionV>
            <wp:extent cx="306070" cy="1022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06070" cy="102235"/>
                    </a:xfrm>
                    <a:prstGeom prst="rect">
                      <a:avLst/>
                    </a:prstGeom>
                    <a:noFill/>
                  </pic:spPr>
                </pic:pic>
              </a:graphicData>
            </a:graphic>
          </wp:anchor>
        </w:drawing>
        <w:drawing>
          <wp:anchor simplePos="0" relativeHeight="251657728" behindDoc="1" locked="0" layoutInCell="0" allowOverlap="1">
            <wp:simplePos x="0" y="0"/>
            <wp:positionH relativeFrom="page">
              <wp:posOffset>1527175</wp:posOffset>
            </wp:positionH>
            <wp:positionV relativeFrom="page">
              <wp:posOffset>6379845</wp:posOffset>
            </wp:positionV>
            <wp:extent cx="843915" cy="1187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43915" cy="11874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3923030</wp:posOffset>
            </wp:positionH>
            <wp:positionV relativeFrom="page">
              <wp:posOffset>9492615</wp:posOffset>
            </wp:positionV>
            <wp:extent cx="116840" cy="984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6840" cy="98425"/>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1119505</wp:posOffset>
            </wp:positionV>
            <wp:extent cx="5772150" cy="8166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72150" cy="816610"/>
                    </a:xfrm>
                    <a:prstGeom prst="rect">
                      <a:avLst/>
                    </a:prstGeom>
                    <a:noFill/>
                  </pic:spPr>
                </pic:pic>
              </a:graphicData>
            </a:graphic>
          </wp:anchor>
        </w:drawing>
        <w:drawing>
          <wp:anchor simplePos="0" relativeHeight="251657728" behindDoc="1" locked="0" layoutInCell="0" allowOverlap="1">
            <wp:simplePos x="0" y="0"/>
            <wp:positionH relativeFrom="page">
              <wp:posOffset>909320</wp:posOffset>
            </wp:positionH>
            <wp:positionV relativeFrom="page">
              <wp:posOffset>2382520</wp:posOffset>
            </wp:positionV>
            <wp:extent cx="702945" cy="1022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2945" cy="1022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3923030</wp:posOffset>
            </wp:positionH>
            <wp:positionV relativeFrom="page">
              <wp:posOffset>9492615</wp:posOffset>
            </wp:positionV>
            <wp:extent cx="125730" cy="984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5730" cy="98425"/>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1946910</wp:posOffset>
            </wp:positionV>
            <wp:extent cx="6170295" cy="9124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70295" cy="91249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3923030</wp:posOffset>
            </wp:positionH>
            <wp:positionV relativeFrom="page">
              <wp:posOffset>9492615</wp:posOffset>
            </wp:positionV>
            <wp:extent cx="121285" cy="996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1285" cy="99695"/>
                    </a:xfrm>
                    <a:prstGeom prst="rect">
                      <a:avLst/>
                    </a:prstGeom>
                    <a:noFill/>
                  </pic:spPr>
                </pic:pic>
              </a:graphicData>
            </a:graphic>
          </wp:anchor>
        </w:drawing>
        <w:drawing>
          <wp:anchor simplePos="0" relativeHeight="251657728" behindDoc="1" locked="0" layoutInCell="0" allowOverlap="1">
            <wp:simplePos x="0" y="0"/>
            <wp:positionH relativeFrom="page">
              <wp:posOffset>1188085</wp:posOffset>
            </wp:positionH>
            <wp:positionV relativeFrom="page">
              <wp:posOffset>1395730</wp:posOffset>
            </wp:positionV>
            <wp:extent cx="5596890" cy="11106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96890" cy="1110615"/>
                    </a:xfrm>
                    <a:prstGeom prst="rect">
                      <a:avLst/>
                    </a:prstGeom>
                    <a:noFill/>
                  </pic:spPr>
                </pic:pic>
              </a:graphicData>
            </a:graphic>
          </wp:anchor>
        </w:drawing>
        <w:drawing>
          <wp:anchor simplePos="0" relativeHeight="251657728" behindDoc="1" locked="0" layoutInCell="0" allowOverlap="1">
            <wp:simplePos x="0" y="0"/>
            <wp:positionH relativeFrom="page">
              <wp:posOffset>1188085</wp:posOffset>
            </wp:positionH>
            <wp:positionV relativeFrom="page">
              <wp:posOffset>2635885</wp:posOffset>
            </wp:positionV>
            <wp:extent cx="5596890" cy="3062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96890" cy="30626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3923030</wp:posOffset>
            </wp:positionH>
            <wp:positionV relativeFrom="page">
              <wp:posOffset>9492615</wp:posOffset>
            </wp:positionV>
            <wp:extent cx="126365" cy="984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6365" cy="98425"/>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4717415</wp:posOffset>
            </wp:positionV>
            <wp:extent cx="544830" cy="1193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4830" cy="119380"/>
                    </a:xfrm>
                    <a:prstGeom prst="rect">
                      <a:avLst/>
                    </a:prstGeom>
                    <a:noFill/>
                  </pic:spPr>
                </pic:pic>
              </a:graphicData>
            </a:graphic>
          </wp:anchor>
        </w:drawing>
        <w:drawing>
          <wp:anchor simplePos="0" relativeHeight="251657728" behindDoc="1" locked="0" layoutInCell="0" allowOverlap="1">
            <wp:simplePos x="0" y="0"/>
            <wp:positionH relativeFrom="page">
              <wp:posOffset>915035</wp:posOffset>
            </wp:positionH>
            <wp:positionV relativeFrom="page">
              <wp:posOffset>6896735</wp:posOffset>
            </wp:positionV>
            <wp:extent cx="796290" cy="1212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96290" cy="121285"/>
                    </a:xfrm>
                    <a:prstGeom prst="rect">
                      <a:avLst/>
                    </a:prstGeom>
                    <a:noFill/>
                  </pic:spPr>
                </pic:pic>
              </a:graphicData>
            </a:graphic>
          </wp:anchor>
        </w:drawing>
        <w:drawing>
          <wp:anchor simplePos="0" relativeHeight="251657728" behindDoc="1" locked="0" layoutInCell="0" allowOverlap="1">
            <wp:simplePos x="0" y="0"/>
            <wp:positionH relativeFrom="page">
              <wp:posOffset>909320</wp:posOffset>
            </wp:positionH>
            <wp:positionV relativeFrom="page">
              <wp:posOffset>8344535</wp:posOffset>
            </wp:positionV>
            <wp:extent cx="718820" cy="1003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820" cy="10033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3923030</wp:posOffset>
            </wp:positionH>
            <wp:positionV relativeFrom="page">
              <wp:posOffset>9492615</wp:posOffset>
            </wp:positionV>
            <wp:extent cx="123190" cy="996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3190" cy="9969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3923030</wp:posOffset>
            </wp:positionH>
            <wp:positionV relativeFrom="page">
              <wp:posOffset>9492615</wp:posOffset>
            </wp:positionV>
            <wp:extent cx="125730" cy="996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5730" cy="99695"/>
                    </a:xfrm>
                    <a:prstGeom prst="rect">
                      <a:avLst/>
                    </a:prstGeom>
                    <a:noFill/>
                  </pic:spPr>
                </pic:pic>
              </a:graphicData>
            </a:graphic>
          </wp:anchor>
        </w:drawing>
        <w:drawing>
          <wp:anchor simplePos="0" relativeHeight="251657728" behindDoc="1" locked="0" layoutInCell="0" allowOverlap="1">
            <wp:simplePos x="0" y="0"/>
            <wp:positionH relativeFrom="page">
              <wp:posOffset>6241415</wp:posOffset>
            </wp:positionH>
            <wp:positionV relativeFrom="page">
              <wp:posOffset>5430520</wp:posOffset>
            </wp:positionV>
            <wp:extent cx="502285" cy="958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02285" cy="95885"/>
                    </a:xfrm>
                    <a:prstGeom prst="rect">
                      <a:avLst/>
                    </a:prstGeom>
                    <a:noFill/>
                  </pic:spPr>
                </pic:pic>
              </a:graphicData>
            </a:graphic>
          </wp:anchor>
        </w:drawing>
        <w:drawing>
          <wp:anchor simplePos="0" relativeHeight="251657728" behindDoc="1" locked="0" layoutInCell="0" allowOverlap="1">
            <wp:simplePos x="0" y="0"/>
            <wp:positionH relativeFrom="page">
              <wp:posOffset>6276340</wp:posOffset>
            </wp:positionH>
            <wp:positionV relativeFrom="page">
              <wp:posOffset>5546090</wp:posOffset>
            </wp:positionV>
            <wp:extent cx="426085" cy="958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6085" cy="95885"/>
                    </a:xfrm>
                    <a:prstGeom prst="rect">
                      <a:avLst/>
                    </a:prstGeom>
                    <a:noFill/>
                  </pic:spPr>
                </pic:pic>
              </a:graphicData>
            </a:graphic>
          </wp:anchor>
        </w:drawing>
        <w:drawing>
          <wp:anchor simplePos="0" relativeHeight="251657728" behindDoc="1" locked="0" layoutInCell="0" allowOverlap="1">
            <wp:simplePos x="0" y="0"/>
            <wp:positionH relativeFrom="page">
              <wp:posOffset>3713480</wp:posOffset>
            </wp:positionH>
            <wp:positionV relativeFrom="page">
              <wp:posOffset>5663565</wp:posOffset>
            </wp:positionV>
            <wp:extent cx="3109595" cy="4673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09595" cy="467360"/>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6805930</wp:posOffset>
            </wp:positionV>
            <wp:extent cx="6173470" cy="9366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73470" cy="936625"/>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7891145</wp:posOffset>
            </wp:positionV>
            <wp:extent cx="136525" cy="1181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6525" cy="11811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3923030</wp:posOffset>
            </wp:positionH>
            <wp:positionV relativeFrom="page">
              <wp:posOffset>9492615</wp:posOffset>
            </wp:positionV>
            <wp:extent cx="125095" cy="1003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5095" cy="100330"/>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7341870</wp:posOffset>
            </wp:positionV>
            <wp:extent cx="683895" cy="1219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895" cy="121920"/>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7969885</wp:posOffset>
            </wp:positionV>
            <wp:extent cx="758825" cy="1003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58825" cy="10033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3923030</wp:posOffset>
            </wp:positionH>
            <wp:positionV relativeFrom="page">
              <wp:posOffset>9492615</wp:posOffset>
            </wp:positionV>
            <wp:extent cx="123825" cy="996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3825" cy="9969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3923030</wp:posOffset>
            </wp:positionH>
            <wp:positionV relativeFrom="page">
              <wp:posOffset>9492615</wp:posOffset>
            </wp:positionV>
            <wp:extent cx="125730" cy="1003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5730" cy="100330"/>
                    </a:xfrm>
                    <a:prstGeom prst="rect">
                      <a:avLst/>
                    </a:prstGeom>
                    <a:noFill/>
                  </pic:spPr>
                </pic:pic>
              </a:graphicData>
            </a:graphic>
          </wp:anchor>
        </w:drawing>
        <w:drawing>
          <wp:anchor simplePos="0" relativeHeight="251657728" behindDoc="1" locked="0" layoutInCell="0" allowOverlap="1">
            <wp:simplePos x="0" y="0"/>
            <wp:positionH relativeFrom="page">
              <wp:posOffset>905510</wp:posOffset>
            </wp:positionH>
            <wp:positionV relativeFrom="page">
              <wp:posOffset>1792605</wp:posOffset>
            </wp:positionV>
            <wp:extent cx="502920" cy="1238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2920" cy="12382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3924935</wp:posOffset>
            </wp:positionH>
            <wp:positionV relativeFrom="page">
              <wp:posOffset>9492615</wp:posOffset>
            </wp:positionV>
            <wp:extent cx="124460" cy="996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4460" cy="9969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3924935</wp:posOffset>
            </wp:positionH>
            <wp:positionV relativeFrom="page">
              <wp:posOffset>9492615</wp:posOffset>
            </wp:positionV>
            <wp:extent cx="114935" cy="996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4935" cy="99695"/>
                    </a:xfrm>
                    <a:prstGeom prst="rect">
                      <a:avLst/>
                    </a:prstGeom>
                    <a:noFill/>
                  </pic:spPr>
                </pic:pic>
              </a:graphicData>
            </a:graphic>
          </wp:anchor>
        </w:drawing>
        <w:drawing>
          <wp:anchor simplePos="0" relativeHeight="251657728" behindDoc="1" locked="0" layoutInCell="0" allowOverlap="1">
            <wp:simplePos x="0" y="0"/>
            <wp:positionH relativeFrom="page">
              <wp:posOffset>3502660</wp:posOffset>
            </wp:positionH>
            <wp:positionV relativeFrom="page">
              <wp:posOffset>929005</wp:posOffset>
            </wp:positionV>
            <wp:extent cx="969010" cy="1003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69010" cy="100330"/>
                    </a:xfrm>
                    <a:prstGeom prst="rect">
                      <a:avLst/>
                    </a:prstGeom>
                    <a:noFill/>
                  </pic:spPr>
                </pic:pic>
              </a:graphicData>
            </a:graphic>
          </wp:anchor>
        </w:drawing>
        <w:drawing>
          <wp:anchor simplePos="0" relativeHeight="251657728" behindDoc="1" locked="0" layoutInCell="0" allowOverlap="1">
            <wp:simplePos x="0" y="0"/>
            <wp:positionH relativeFrom="page">
              <wp:posOffset>893445</wp:posOffset>
            </wp:positionH>
            <wp:positionV relativeFrom="page">
              <wp:posOffset>1370330</wp:posOffset>
            </wp:positionV>
            <wp:extent cx="461010" cy="1238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61010" cy="123825"/>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1945640</wp:posOffset>
            </wp:positionV>
            <wp:extent cx="3578860" cy="1536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578860" cy="153670"/>
                    </a:xfrm>
                    <a:prstGeom prst="rect">
                      <a:avLst/>
                    </a:prstGeom>
                    <a:noFill/>
                  </pic:spPr>
                </pic:pic>
              </a:graphicData>
            </a:graphic>
          </wp:anchor>
        </w:drawing>
        <w:drawing>
          <wp:anchor simplePos="0" relativeHeight="251657728" behindDoc="1" locked="0" layoutInCell="0" allowOverlap="1">
            <wp:simplePos x="0" y="0"/>
            <wp:positionH relativeFrom="page">
              <wp:posOffset>902335</wp:posOffset>
            </wp:positionH>
            <wp:positionV relativeFrom="page">
              <wp:posOffset>2429510</wp:posOffset>
            </wp:positionV>
            <wp:extent cx="653415" cy="1238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53415" cy="12382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38" w:name="page39"/>
    <w:bookmarkEnd w:id="38"/>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6400800" cy="4763"/>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00800" cy="4763"/>
                    </a:xfrm>
                    <a:prstGeom prst="rect">
                      <a:avLst/>
                    </a:prstGeom>
                    <a:noFill/>
                  </pic:spPr>
                </pic:pic>
              </a:graphicData>
            </a:graphic>
          </wp:anchor>
        </w:drawing>
      </w:r>
    </w:p>
    <w:p>
      <w:pPr>
        <w:jc w:val="center"/>
        <w:ind w:right="-19"/>
        <w:spacing w:after="0" w:line="223" w:lineRule="auto"/>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29" w:lineRule="auto"/>
        <w:rPr>
          <w:sz w:val="20"/>
          <w:szCs w:val="20"/>
          <w:color w:val="auto"/>
        </w:rPr>
      </w:pPr>
      <w:r>
        <w:rPr>
          <w:rFonts w:ascii="Arial" w:cs="Arial" w:eastAsia="Arial" w:hAnsi="Arial"/>
          <w:sz w:val="20"/>
          <w:szCs w:val="20"/>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6427470" cy="21253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27470" cy="2125345"/>
                    </a:xfrm>
                    <a:prstGeom prst="rect">
                      <a:avLst/>
                    </a:prstGeom>
                    <a:noFill/>
                  </pic:spPr>
                </pic:pic>
              </a:graphicData>
            </a:graphic>
          </wp:anchor>
        </w:drawing>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4" w:lineRule="exact"/>
        <w:rPr>
          <w:sz w:val="20"/>
          <w:szCs w:val="20"/>
          <w:color w:val="auto"/>
        </w:rPr>
      </w:pPr>
    </w:p>
    <w:p>
      <w:pPr>
        <w:ind w:left="400" w:right="340"/>
        <w:spacing w:after="0" w:line="224" w:lineRule="auto"/>
        <w:rPr>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2025</w:t>
      </w:r>
    </w:p>
    <w:p>
      <w:pPr>
        <w:jc w:val="center"/>
        <w:ind w:right="-19"/>
        <w:spacing w:after="0" w:line="231" w:lineRule="auto"/>
        <w:rPr>
          <w:sz w:val="20"/>
          <w:szCs w:val="20"/>
          <w:color w:val="auto"/>
        </w:rPr>
      </w:pPr>
      <w:r>
        <w:rPr>
          <w:rFonts w:ascii="Arial" w:cs="Arial" w:eastAsia="Arial" w:hAnsi="Arial"/>
          <w:sz w:val="16"/>
          <w:szCs w:val="16"/>
          <w:b w:val="1"/>
          <w:bCs w:val="1"/>
          <w:color w:val="auto"/>
        </w:rPr>
        <w:t>OR</w:t>
      </w:r>
    </w:p>
    <w:p>
      <w:pPr>
        <w:spacing w:after="0" w:line="37" w:lineRule="exact"/>
        <w:rPr>
          <w:sz w:val="20"/>
          <w:szCs w:val="20"/>
          <w:color w:val="auto"/>
        </w:rPr>
      </w:pPr>
    </w:p>
    <w:p>
      <w:pPr>
        <w:ind w:left="400" w:right="260"/>
        <w:spacing w:after="0" w:line="224" w:lineRule="auto"/>
        <w:rPr>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ectPr>
          <w:pgSz w:w="12240" w:h="15840" w:orient="portrait"/>
          <w:cols w:equalWidth="0" w:num="1">
            <w:col w:w="10060"/>
          </w:cols>
          <w:pgMar w:left="1080" w:top="1085" w:right="1100" w:bottom="643" w:gutter="0" w:footer="0" w:header="0"/>
        </w:sectPr>
      </w:pPr>
    </w:p>
    <w:p>
      <w:pPr>
        <w:spacing w:after="0" w:line="83"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auto"/>
        </w:rPr>
        <w:t>For the transition period from</w:t>
      </w:r>
    </w:p>
    <w:p>
      <w:pPr>
        <w:ind w:left="3800"/>
        <w:spacing w:after="0"/>
        <w:rPr>
          <w:sz w:val="20"/>
          <w:szCs w:val="20"/>
          <w:color w:val="auto"/>
        </w:rPr>
      </w:pPr>
      <w:r>
        <w:rPr>
          <w:rFonts w:ascii="Arial" w:cs="Arial" w:eastAsia="Arial" w:hAnsi="Arial"/>
          <w:sz w:val="14"/>
          <w:szCs w:val="14"/>
          <w:b w:val="1"/>
          <w:bCs w:val="1"/>
          <w:color w:val="auto"/>
        </w:rPr>
        <w:t>Commission File Number 001-39988</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336" w:lineRule="exact"/>
        <w:rPr>
          <w:sz w:val="20"/>
          <w:szCs w:val="20"/>
          <w:color w:val="auto"/>
        </w:rPr>
      </w:pPr>
    </w:p>
    <w:p>
      <w:pPr>
        <w:sectPr>
          <w:pgSz w:w="12240" w:h="15840" w:orient="portrait"/>
          <w:cols w:equalWidth="0" w:num="2">
            <w:col w:w="6280" w:space="40"/>
            <w:col w:w="3740"/>
          </w:cols>
          <w:pgMar w:left="1080" w:top="1085" w:right="1100" w:bottom="643" w:gutter="0" w:footer="0" w:header="0"/>
          <w:type w:val="continuous"/>
        </w:sectPr>
      </w:pPr>
    </w:p>
    <w:p>
      <w:pPr>
        <w:jc w:val="center"/>
        <w:ind w:right="-19"/>
        <w:spacing w:after="0"/>
        <w:rPr>
          <w:sz w:val="20"/>
          <w:szCs w:val="20"/>
          <w:color w:val="auto"/>
        </w:rPr>
      </w:pPr>
      <w:r>
        <w:rPr>
          <w:rFonts w:ascii="Arial" w:cs="Arial" w:eastAsia="Arial" w:hAnsi="Arial"/>
          <w:sz w:val="30"/>
          <w:szCs w:val="30"/>
          <w:b w:val="1"/>
          <w:bCs w:val="1"/>
          <w:color w:val="auto"/>
        </w:rPr>
        <w:t>Bolt Biotherapeutics, Inc.</w:t>
      </w: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2240" w:h="15840" w:orient="portrait"/>
          <w:cols w:equalWidth="0" w:num="1">
            <w:col w:w="10060"/>
          </w:cols>
          <w:pgMar w:left="1080" w:top="1085" w:right="1100" w:bottom="643" w:gutter="0" w:footer="0" w:header="0"/>
          <w:type w:val="continuous"/>
        </w:sectPr>
      </w:pPr>
    </w:p>
    <w:p>
      <w:pPr>
        <w:spacing w:after="0" w:line="185"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auto"/>
        </w:rPr>
        <w:t>Delaware</w:t>
      </w:r>
    </w:p>
    <w:p>
      <w:pPr>
        <w:ind w:left="1540"/>
        <w:spacing w:after="0"/>
        <w:rPr>
          <w:sz w:val="20"/>
          <w:szCs w:val="20"/>
          <w:color w:val="auto"/>
        </w:rPr>
      </w:pPr>
      <w:r>
        <w:rPr>
          <w:rFonts w:ascii="Arial" w:cs="Arial" w:eastAsia="Arial" w:hAnsi="Arial"/>
          <w:sz w:val="14"/>
          <w:szCs w:val="14"/>
          <w:b w:val="1"/>
          <w:bCs w:val="1"/>
          <w:color w:val="auto"/>
        </w:rPr>
        <w:t>(State or other jurisdiction of</w:t>
      </w:r>
    </w:p>
    <w:p>
      <w:pPr>
        <w:spacing w:after="0" w:line="3"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800"/>
        <w:spacing w:after="0"/>
        <w:rPr>
          <w:sz w:val="20"/>
          <w:szCs w:val="20"/>
          <w:color w:val="auto"/>
        </w:rPr>
      </w:pPr>
      <w:r>
        <w:rPr>
          <w:rFonts w:ascii="Arial" w:cs="Arial" w:eastAsia="Arial" w:hAnsi="Arial"/>
          <w:sz w:val="16"/>
          <w:szCs w:val="16"/>
          <w:b w:val="1"/>
          <w:bCs w:val="1"/>
          <w:color w:val="auto"/>
        </w:rPr>
        <w:t>47-2804636</w:t>
      </w:r>
    </w:p>
    <w:p>
      <w:pPr>
        <w:jc w:val="center"/>
        <w:ind w:right="1780"/>
        <w:spacing w:after="0" w:line="213" w:lineRule="auto"/>
        <w:rPr>
          <w:sz w:val="20"/>
          <w:szCs w:val="20"/>
          <w:color w:val="auto"/>
        </w:rPr>
      </w:pPr>
      <w:r>
        <w:rPr>
          <w:rFonts w:ascii="Arial" w:cs="Arial" w:eastAsia="Arial" w:hAnsi="Arial"/>
          <w:sz w:val="16"/>
          <w:szCs w:val="16"/>
          <w:b w:val="1"/>
          <w:bCs w:val="1"/>
          <w:color w:val="auto"/>
        </w:rPr>
        <w:t>(I.R.S. Employer</w:t>
      </w:r>
    </w:p>
    <w:p>
      <w:pPr>
        <w:spacing w:after="0" w:line="1" w:lineRule="exact"/>
        <w:rPr>
          <w:sz w:val="20"/>
          <w:szCs w:val="20"/>
          <w:color w:val="auto"/>
        </w:rPr>
      </w:pPr>
    </w:p>
    <w:p>
      <w:pPr>
        <w:jc w:val="center"/>
        <w:ind w:right="1800"/>
        <w:spacing w:after="0"/>
        <w:rPr>
          <w:sz w:val="20"/>
          <w:szCs w:val="20"/>
          <w:color w:val="auto"/>
        </w:rPr>
      </w:pPr>
      <w:r>
        <w:rPr>
          <w:rFonts w:ascii="Arial" w:cs="Arial" w:eastAsia="Arial" w:hAnsi="Arial"/>
          <w:sz w:val="14"/>
          <w:szCs w:val="14"/>
          <w:b w:val="1"/>
          <w:bCs w:val="1"/>
          <w:color w:val="auto"/>
        </w:rPr>
        <w:t>Identification No.)</w:t>
      </w:r>
    </w:p>
    <w:p>
      <w:pPr>
        <w:spacing w:after="0" w:line="34" w:lineRule="exact"/>
        <w:rPr>
          <w:sz w:val="20"/>
          <w:szCs w:val="20"/>
          <w:color w:val="auto"/>
        </w:rPr>
      </w:pPr>
    </w:p>
    <w:p>
      <w:pPr>
        <w:sectPr>
          <w:pgSz w:w="12240" w:h="15840" w:orient="portrait"/>
          <w:cols w:equalWidth="0" w:num="2">
            <w:col w:w="6280" w:space="720"/>
            <w:col w:w="3060"/>
          </w:cols>
          <w:pgMar w:left="1080" w:top="1085" w:right="1100" w:bottom="643" w:gutter="0" w:footer="0" w:header="0"/>
          <w:type w:val="continuous"/>
        </w:sectPr>
      </w:pPr>
    </w:p>
    <w:p>
      <w:pPr>
        <w:ind w:left="1780"/>
        <w:spacing w:after="0"/>
        <w:rPr>
          <w:sz w:val="20"/>
          <w:szCs w:val="20"/>
          <w:color w:val="auto"/>
        </w:rPr>
      </w:pPr>
      <w:r>
        <w:rPr>
          <w:rFonts w:ascii="Arial" w:cs="Arial" w:eastAsia="Arial" w:hAnsi="Arial"/>
          <w:sz w:val="16"/>
          <w:szCs w:val="16"/>
          <w:b w:val="1"/>
          <w:bCs w:val="1"/>
          <w:color w:val="auto"/>
        </w:rPr>
        <w:t>900 Chesapeake Drive</w:t>
      </w:r>
    </w:p>
    <w:p>
      <w:pPr>
        <w:ind w:left="1900"/>
        <w:spacing w:after="0"/>
        <w:tabs>
          <w:tab w:leader="none" w:pos="7420" w:val="left"/>
        </w:tabs>
        <w:rPr>
          <w:sz w:val="20"/>
          <w:szCs w:val="20"/>
          <w:color w:val="auto"/>
        </w:rPr>
      </w:pPr>
      <w:r>
        <w:rPr>
          <w:rFonts w:ascii="Arial" w:cs="Arial" w:eastAsia="Arial" w:hAnsi="Arial"/>
          <w:sz w:val="16"/>
          <w:szCs w:val="16"/>
          <w:b w:val="1"/>
          <w:bCs w:val="1"/>
          <w:color w:val="auto"/>
        </w:rPr>
        <w:t>Redwood City, CA</w:t>
      </w:r>
      <w:r>
        <w:rPr>
          <w:sz w:val="20"/>
          <w:szCs w:val="20"/>
          <w:color w:val="auto"/>
        </w:rPr>
        <w:tab/>
      </w:r>
      <w:r>
        <w:rPr>
          <w:rFonts w:ascii="Arial" w:cs="Arial" w:eastAsia="Arial" w:hAnsi="Arial"/>
          <w:sz w:val="14"/>
          <w:szCs w:val="14"/>
          <w:b w:val="1"/>
          <w:bCs w:val="1"/>
          <w:color w:val="auto"/>
        </w:rPr>
        <w:t>94063</w:t>
      </w:r>
    </w:p>
    <w:p>
      <w:pPr>
        <w:ind w:left="1220"/>
        <w:spacing w:after="0"/>
        <w:tabs>
          <w:tab w:leader="none" w:pos="7240" w:val="left"/>
        </w:tabs>
        <w:rPr>
          <w:sz w:val="20"/>
          <w:szCs w:val="20"/>
          <w:color w:val="auto"/>
        </w:rPr>
      </w:pPr>
      <w:r>
        <w:rPr>
          <w:rFonts w:ascii="Arial" w:cs="Arial" w:eastAsia="Arial" w:hAnsi="Arial"/>
          <w:sz w:val="16"/>
          <w:szCs w:val="16"/>
          <w:b w:val="1"/>
          <w:bCs w:val="1"/>
          <w:color w:val="auto"/>
        </w:rPr>
        <w:t>(Address of principal executive offices)</w:t>
      </w:r>
      <w:r>
        <w:rPr>
          <w:sz w:val="20"/>
          <w:szCs w:val="20"/>
          <w:color w:val="auto"/>
        </w:rPr>
        <w:tab/>
      </w:r>
      <w:r>
        <w:rPr>
          <w:rFonts w:ascii="Arial" w:cs="Arial" w:eastAsia="Arial" w:hAnsi="Arial"/>
          <w:sz w:val="14"/>
          <w:szCs w:val="14"/>
          <w:b w:val="1"/>
          <w:bCs w:val="1"/>
          <w:color w:val="auto"/>
        </w:rPr>
        <w:t>(Zip Code)</w:t>
      </w:r>
    </w:p>
    <w:p>
      <w:pPr>
        <w:ind w:left="2720"/>
        <w:spacing w:after="0" w:line="219" w:lineRule="auto"/>
        <w:rPr>
          <w:sz w:val="20"/>
          <w:szCs w:val="20"/>
          <w:color w:val="auto"/>
        </w:rPr>
      </w:pPr>
      <w:r>
        <w:rPr>
          <w:rFonts w:ascii="Arial" w:cs="Arial" w:eastAsia="Arial" w:hAnsi="Arial"/>
          <w:sz w:val="16"/>
          <w:szCs w:val="16"/>
          <w:b w:val="1"/>
          <w:bCs w:val="1"/>
          <w:color w:val="auto"/>
        </w:rPr>
        <w:t>Registrant’s telephone number, including area code: (650) 665-9295</w:t>
      </w:r>
    </w:p>
    <w:p>
      <w:pPr>
        <w:spacing w:after="0" w:line="231" w:lineRule="auto"/>
        <w:rPr>
          <w:sz w:val="20"/>
          <w:szCs w:val="20"/>
          <w:color w:val="auto"/>
        </w:rPr>
      </w:pPr>
      <w:r>
        <w:rPr>
          <w:rFonts w:ascii="Arial" w:cs="Arial" w:eastAsia="Arial" w:hAnsi="Arial"/>
          <w:sz w:val="16"/>
          <w:szCs w:val="16"/>
          <w:b w:val="1"/>
          <w:bCs w:val="1"/>
          <w:color w:val="auto"/>
        </w:rPr>
        <w:t>Securities registered pursuant to Section 12(b) of the Act:</w:t>
      </w:r>
    </w:p>
    <w:p>
      <w:pPr>
        <w:sectPr>
          <w:pgSz w:w="12240" w:h="15840" w:orient="portrait"/>
          <w:cols w:equalWidth="0" w:num="1">
            <w:col w:w="10060"/>
          </w:cols>
          <w:pgMar w:left="1080" w:top="1085" w:right="1100" w:bottom="643" w:gutter="0" w:footer="0" w:header="0"/>
          <w:type w:val="continuous"/>
        </w:sectPr>
      </w:pPr>
    </w:p>
    <w:p>
      <w:pPr>
        <w:spacing w:after="0" w:line="299" w:lineRule="exact"/>
        <w:rPr>
          <w:sz w:val="20"/>
          <w:szCs w:val="20"/>
          <w:color w:val="auto"/>
        </w:rPr>
      </w:pPr>
    </w:p>
    <w:p>
      <w:pPr>
        <w:jc w:val="center"/>
        <w:ind w:left="56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Trading</w:t>
      </w:r>
    </w:p>
    <w:p>
      <w:pPr>
        <w:jc w:val="center"/>
        <w:ind w:right="160"/>
        <w:spacing w:after="0"/>
        <w:rPr>
          <w:sz w:val="20"/>
          <w:szCs w:val="20"/>
          <w:color w:val="auto"/>
        </w:rPr>
      </w:pPr>
      <w:r>
        <w:rPr>
          <w:rFonts w:ascii="Arial" w:cs="Arial" w:eastAsia="Arial" w:hAnsi="Arial"/>
          <w:sz w:val="14"/>
          <w:szCs w:val="14"/>
          <w:b w:val="1"/>
          <w:bCs w:val="1"/>
          <w:color w:val="auto"/>
        </w:rPr>
        <w:t>Symbol(s)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26035</wp:posOffset>
            </wp:positionV>
            <wp:extent cx="6427470" cy="393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27470"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7" w:lineRule="exact"/>
        <w:rPr>
          <w:sz w:val="20"/>
          <w:szCs w:val="20"/>
          <w:color w:val="auto"/>
        </w:rPr>
      </w:pPr>
    </w:p>
    <w:p>
      <w:pPr>
        <w:sectPr>
          <w:pgSz w:w="12240" w:h="15840" w:orient="portrait"/>
          <w:cols w:equalWidth="0" w:num="3">
            <w:col w:w="4080" w:space="720"/>
            <w:col w:w="860" w:space="720"/>
            <w:col w:w="3680"/>
          </w:cols>
          <w:pgMar w:left="1080" w:top="1085" w:right="1100" w:bottom="643" w:gutter="0" w:footer="0" w:header="0"/>
          <w:type w:val="continuous"/>
        </w:sectPr>
      </w:pPr>
    </w:p>
    <w:p>
      <w:pPr>
        <w:spacing w:after="0"/>
        <w:rPr>
          <w:sz w:val="20"/>
          <w:szCs w:val="20"/>
          <w:color w:val="auto"/>
        </w:rPr>
      </w:pPr>
      <w:r>
        <w:rPr>
          <w:rFonts w:ascii="Arial" w:cs="Arial" w:eastAsia="Arial" w:hAnsi="Arial"/>
          <w:sz w:val="13"/>
          <w:szCs w:val="13"/>
          <w:b w:val="1"/>
          <w:bCs w:val="1"/>
          <w:color w:val="auto"/>
        </w:rPr>
        <w:t>Common Stock, $0.00001 par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BOLT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The Nasdaq Capital Market</w:t>
      </w:r>
    </w:p>
    <w:p>
      <w:pPr>
        <w:spacing w:after="0" w:line="58" w:lineRule="exact"/>
        <w:rPr>
          <w:sz w:val="20"/>
          <w:szCs w:val="20"/>
          <w:color w:val="auto"/>
        </w:rPr>
      </w:pPr>
    </w:p>
    <w:p>
      <w:pPr>
        <w:sectPr>
          <w:pgSz w:w="12240" w:h="15840" w:orient="portrait"/>
          <w:cols w:equalWidth="0" w:num="3">
            <w:col w:w="4220" w:space="720"/>
            <w:col w:w="1320" w:space="720"/>
            <w:col w:w="3080"/>
          </w:cols>
          <w:pgMar w:left="1080" w:top="1085" w:right="1100" w:bottom="643" w:gutter="0" w:footer="0" w:header="0"/>
          <w:type w:val="continuous"/>
        </w:sectPr>
      </w:pPr>
    </w:p>
    <w:p>
      <w:pPr>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ectPr>
          <w:pgSz w:w="12240" w:h="15840" w:orient="portrait"/>
          <w:cols w:equalWidth="0" w:num="1">
            <w:col w:w="10060"/>
          </w:cols>
          <w:pgMar w:left="1080" w:top="1085" w:right="1100" w:bottom="643"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YES </w:t>
      </w:r>
      <w:r>
        <w:rPr>
          <w:sz w:val="1"/>
          <w:szCs w:val="1"/>
          <w:color w:val="auto"/>
        </w:rPr>
        <w:drawing>
          <wp:inline distT="0" distB="0" distL="0" distR="0">
            <wp:extent cx="97155" cy="9715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NO </w:t>
      </w:r>
      <w:r>
        <w:rPr>
          <w:sz w:val="1"/>
          <w:szCs w:val="1"/>
          <w:color w:val="auto"/>
        </w:rPr>
        <w:drawing>
          <wp:inline distT="0" distB="0" distL="0" distR="0">
            <wp:extent cx="97155" cy="9715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p>
    <w:p>
      <w:pPr>
        <w:spacing w:after="0" w:line="53" w:lineRule="exact"/>
        <w:rPr>
          <w:sz w:val="20"/>
          <w:szCs w:val="20"/>
          <w:color w:val="auto"/>
        </w:rPr>
      </w:pPr>
    </w:p>
    <w:p>
      <w:pPr>
        <w:sectPr>
          <w:pgSz w:w="12240" w:h="15840" w:orient="portrait"/>
          <w:cols w:equalWidth="0" w:num="3">
            <w:col w:w="7580" w:space="160"/>
            <w:col w:w="520" w:space="160"/>
            <w:col w:w="1640"/>
          </w:cols>
          <w:pgMar w:left="1080" w:top="1085" w:right="1100" w:bottom="643"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b w:val="1"/>
          <w:bCs w:val="1"/>
          <w:color w:val="auto"/>
        </w:rPr>
        <w:t xml:space="preserve">YES </w:t>
      </w:r>
      <w:r>
        <w:rPr>
          <w:sz w:val="1"/>
          <w:szCs w:val="1"/>
          <w:color w:val="auto"/>
        </w:rPr>
        <w:drawing>
          <wp:inline distT="0" distB="0" distL="0" distR="0">
            <wp:extent cx="97155" cy="9715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NO</w:t>
      </w:r>
    </w:p>
    <w:p>
      <w:pPr>
        <w:spacing w:after="0" w:line="52" w:lineRule="exact"/>
        <w:rPr>
          <w:sz w:val="20"/>
          <w:szCs w:val="20"/>
          <w:color w:val="auto"/>
        </w:rPr>
      </w:pPr>
    </w:p>
    <w:p>
      <w:pPr>
        <w:sectPr>
          <w:pgSz w:w="12240" w:h="15840" w:orient="portrait"/>
          <w:cols w:equalWidth="0" w:num="3">
            <w:col w:w="7180" w:space="160"/>
            <w:col w:w="540" w:space="160"/>
            <w:col w:w="2020"/>
          </w:cols>
          <w:pgMar w:left="1080" w:top="1085" w:right="1100" w:bottom="643" w:gutter="0" w:footer="0" w:header="0"/>
          <w:type w:val="continuous"/>
        </w:sectPr>
      </w:pPr>
    </w:p>
    <w:p>
      <w:pPr>
        <w:ind w:right="240"/>
        <w:spacing w:after="0" w:line="288" w:lineRule="auto"/>
        <w:rPr>
          <w:sz w:val="20"/>
          <w:szCs w:val="20"/>
          <w:color w:val="auto"/>
        </w:rPr>
      </w:pPr>
      <w:r>
        <w:rPr>
          <w:rFonts w:ascii="Arial" w:cs="Arial" w:eastAsia="Arial" w:hAnsi="Arial"/>
          <w:sz w:val="13"/>
          <w:szCs w:val="13"/>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32" w:lineRule="auto"/>
        <w:tabs>
          <w:tab w:leader="none" w:pos="2300" w:val="left"/>
        </w:tabs>
        <w:rPr>
          <w:sz w:val="20"/>
          <w:szCs w:val="20"/>
          <w:color w:val="auto"/>
        </w:rPr>
      </w:pPr>
      <w:r>
        <w:rPr>
          <w:rFonts w:ascii="Arial" w:cs="Arial" w:eastAsia="Arial" w:hAnsi="Arial"/>
          <w:sz w:val="16"/>
          <w:szCs w:val="16"/>
          <w:b w:val="1"/>
          <w:bCs w:val="1"/>
          <w:color w:val="auto"/>
        </w:rPr>
        <w:t>requirements for the past 90 days.</w:t>
        <w:tab/>
        <w:t xml:space="preserve">YES </w:t>
      </w:r>
      <w:r>
        <w:rPr>
          <w:sz w:val="1"/>
          <w:szCs w:val="1"/>
          <w:color w:val="auto"/>
        </w:rPr>
        <w:drawing>
          <wp:inline distT="0" distB="0" distL="0" distR="0">
            <wp:extent cx="97155" cy="8572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7155" cy="85725"/>
                    </a:xfrm>
                    <a:prstGeom prst="rect">
                      <a:avLst/>
                    </a:prstGeom>
                    <a:noFill/>
                    <a:ln>
                      <a:noFill/>
                    </a:ln>
                  </pic:spPr>
                </pic:pic>
              </a:graphicData>
            </a:graphic>
          </wp:inline>
        </w:drawing>
      </w:r>
      <w:r>
        <w:rPr>
          <w:rFonts w:ascii="Arial" w:cs="Arial" w:eastAsia="Arial" w:hAnsi="Arial"/>
          <w:sz w:val="16"/>
          <w:szCs w:val="16"/>
          <w:b w:val="1"/>
          <w:bCs w:val="1"/>
          <w:color w:val="auto"/>
        </w:rPr>
        <w:t xml:space="preserve">  NO </w:t>
      </w:r>
      <w:r>
        <w:rPr>
          <w:sz w:val="1"/>
          <w:szCs w:val="1"/>
          <w:color w:val="auto"/>
        </w:rPr>
        <w:drawing>
          <wp:inline distT="0" distB="0" distL="0" distR="0">
            <wp:extent cx="97155" cy="8572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7155" cy="85725"/>
                    </a:xfrm>
                    <a:prstGeom prst="rect">
                      <a:avLst/>
                    </a:prstGeom>
                    <a:noFill/>
                    <a:ln>
                      <a:noFill/>
                    </a:ln>
                  </pic:spPr>
                </pic:pic>
              </a:graphicData>
            </a:graphic>
          </wp:inline>
        </w:drawing>
      </w:r>
    </w:p>
    <w:p>
      <w:pPr>
        <w:spacing w:after="0" w:line="37" w:lineRule="exact"/>
        <w:rPr>
          <w:sz w:val="20"/>
          <w:szCs w:val="20"/>
          <w:color w:val="auto"/>
        </w:rPr>
      </w:pPr>
    </w:p>
    <w:p>
      <w:pPr>
        <w:ind w:right="120"/>
        <w:spacing w:after="0" w:line="288" w:lineRule="auto"/>
        <w:rPr>
          <w:sz w:val="20"/>
          <w:szCs w:val="20"/>
          <w:color w:val="auto"/>
        </w:rPr>
      </w:pPr>
      <w:r>
        <w:rPr>
          <w:rFonts w:ascii="Arial" w:cs="Arial" w:eastAsia="Arial" w:hAnsi="Arial"/>
          <w:sz w:val="13"/>
          <w:szCs w:val="13"/>
          <w:b w:val="1"/>
          <w:bCs w:val="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32" w:lineRule="auto"/>
        <w:rPr>
          <w:sz w:val="20"/>
          <w:szCs w:val="20"/>
          <w:color w:val="auto"/>
        </w:rPr>
      </w:pPr>
      <w:r>
        <w:rPr>
          <w:rFonts w:ascii="Arial" w:cs="Arial" w:eastAsia="Arial" w:hAnsi="Arial"/>
          <w:sz w:val="16"/>
          <w:szCs w:val="16"/>
          <w:b w:val="1"/>
          <w:bCs w:val="1"/>
          <w:color w:val="auto"/>
        </w:rPr>
        <w:t xml:space="preserve">YES </w:t>
      </w:r>
      <w:r>
        <w:rPr>
          <w:sz w:val="1"/>
          <w:szCs w:val="1"/>
          <w:color w:val="auto"/>
        </w:rPr>
        <w:drawing>
          <wp:inline distT="0" distB="0" distL="0" distR="0">
            <wp:extent cx="97155" cy="8572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7155" cy="85725"/>
                    </a:xfrm>
                    <a:prstGeom prst="rect">
                      <a:avLst/>
                    </a:prstGeom>
                    <a:noFill/>
                    <a:ln>
                      <a:noFill/>
                    </a:ln>
                  </pic:spPr>
                </pic:pic>
              </a:graphicData>
            </a:graphic>
          </wp:inline>
        </w:drawing>
      </w:r>
      <w:r>
        <w:rPr>
          <w:rFonts w:ascii="Arial" w:cs="Arial" w:eastAsia="Arial" w:hAnsi="Arial"/>
          <w:sz w:val="16"/>
          <w:szCs w:val="16"/>
          <w:b w:val="1"/>
          <w:bCs w:val="1"/>
          <w:color w:val="auto"/>
        </w:rPr>
        <w:t xml:space="preserve">  NO </w:t>
      </w:r>
      <w:r>
        <w:rPr>
          <w:sz w:val="1"/>
          <w:szCs w:val="1"/>
          <w:color w:val="auto"/>
        </w:rPr>
        <w:drawing>
          <wp:inline distT="0" distB="0" distL="0" distR="0">
            <wp:extent cx="97155" cy="8572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7155" cy="85725"/>
                    </a:xfrm>
                    <a:prstGeom prst="rect">
                      <a:avLst/>
                    </a:prstGeom>
                    <a:noFill/>
                    <a:ln>
                      <a:noFill/>
                    </a:ln>
                  </pic:spPr>
                </pic:pic>
              </a:graphicData>
            </a:graphic>
          </wp:inline>
        </w:drawing>
      </w:r>
    </w:p>
    <w:p>
      <w:pPr>
        <w:spacing w:after="0" w:line="39" w:lineRule="exact"/>
        <w:rPr>
          <w:sz w:val="20"/>
          <w:szCs w:val="20"/>
          <w:color w:val="auto"/>
        </w:rPr>
      </w:pPr>
    </w:p>
    <w:p>
      <w:pPr>
        <w:ind w:right="380"/>
        <w:spacing w:after="0" w:line="224"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0060"/>
          </w:cols>
          <w:pgMar w:left="1080" w:top="1085" w:right="1100" w:bottom="643" w:gutter="0" w:footer="0" w:header="0"/>
          <w:type w:val="continuous"/>
        </w:sectPr>
      </w:pPr>
    </w:p>
    <w:p>
      <w:pPr>
        <w:spacing w:after="0" w:line="140"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Large accelerated filer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Accelerated filer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1750695</wp:posOffset>
            </wp:positionH>
            <wp:positionV relativeFrom="paragraph">
              <wp:posOffset>-92075</wp:posOffset>
            </wp:positionV>
            <wp:extent cx="93345" cy="971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345" cy="97155"/>
                    </a:xfrm>
                    <a:prstGeom prst="rect">
                      <a:avLst/>
                    </a:prstGeom>
                    <a:noFill/>
                  </pic:spPr>
                </pic:pic>
              </a:graphicData>
            </a:graphic>
          </wp:anchor>
        </w:drawing>
      </w:r>
    </w:p>
    <w:p>
      <w:pPr>
        <w:spacing w:after="0" w:line="122" w:lineRule="exact"/>
        <w:rPr>
          <w:sz w:val="20"/>
          <w:szCs w:val="20"/>
          <w:color w:val="auto"/>
        </w:rPr>
      </w:pPr>
    </w:p>
    <w:p>
      <w:pPr>
        <w:sectPr>
          <w:pgSz w:w="12240" w:h="15840" w:orient="portrait"/>
          <w:cols w:equalWidth="0" w:num="2">
            <w:col w:w="6080" w:space="720"/>
            <w:col w:w="3260"/>
          </w:cols>
          <w:pgMar w:left="1080" w:top="1085" w:right="1100" w:bottom="643" w:gutter="0" w:footer="0" w:header="0"/>
          <w:type w:val="continuous"/>
        </w:sectPr>
      </w:pPr>
    </w:p>
    <w:p>
      <w:pPr>
        <w:ind w:left="300"/>
        <w:spacing w:after="0"/>
        <w:rPr>
          <w:sz w:val="20"/>
          <w:szCs w:val="20"/>
          <w:color w:val="auto"/>
        </w:rPr>
      </w:pPr>
      <w:r>
        <w:rPr>
          <w:rFonts w:ascii="Arial" w:cs="Arial" w:eastAsia="Arial" w:hAnsi="Arial"/>
          <w:sz w:val="13"/>
          <w:szCs w:val="13"/>
          <w:b w:val="1"/>
          <w:bCs w:val="1"/>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1750695</wp:posOffset>
            </wp:positionH>
            <wp:positionV relativeFrom="paragraph">
              <wp:posOffset>-90805</wp:posOffset>
            </wp:positionV>
            <wp:extent cx="93345" cy="971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345" cy="97155"/>
                    </a:xfrm>
                    <a:prstGeom prst="rect">
                      <a:avLst/>
                    </a:prstGeom>
                    <a:noFill/>
                  </pic:spPr>
                </pic:pic>
              </a:graphicData>
            </a:graphic>
          </wp:anchor>
        </w:drawing>
      </w:r>
    </w:p>
    <w:p>
      <w:pPr>
        <w:spacing w:after="0" w:line="117" w:lineRule="exact"/>
        <w:rPr>
          <w:sz w:val="20"/>
          <w:szCs w:val="20"/>
          <w:color w:val="auto"/>
        </w:rPr>
      </w:pPr>
    </w:p>
    <w:p>
      <w:pPr>
        <w:sectPr>
          <w:pgSz w:w="12240" w:h="15840" w:orient="portrait"/>
          <w:cols w:equalWidth="0" w:num="2">
            <w:col w:w="6080" w:space="720"/>
            <w:col w:w="3260"/>
          </w:cols>
          <w:pgMar w:left="1080" w:top="1085" w:right="1100" w:bottom="643" w:gutter="0" w:footer="0" w:header="0"/>
          <w:type w:val="continuous"/>
        </w:sectPr>
      </w:pPr>
    </w:p>
    <w:p>
      <w:pPr>
        <w:ind w:left="300"/>
        <w:spacing w:after="0"/>
        <w:rPr>
          <w:sz w:val="20"/>
          <w:szCs w:val="20"/>
          <w:color w:val="auto"/>
        </w:rPr>
      </w:pPr>
      <w:r>
        <w:rPr>
          <w:rFonts w:ascii="Arial" w:cs="Arial" w:eastAsia="Arial" w:hAnsi="Arial"/>
          <w:sz w:val="16"/>
          <w:szCs w:val="16"/>
          <w:b w:val="1"/>
          <w:bCs w:val="1"/>
          <w:color w:val="auto"/>
        </w:rPr>
        <w:t>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-108585</wp:posOffset>
            </wp:positionV>
            <wp:extent cx="93345" cy="971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3345" cy="97155"/>
                    </a:xfrm>
                    <a:prstGeom prst="rect">
                      <a:avLst/>
                    </a:prstGeom>
                    <a:noFill/>
                  </pic:spPr>
                </pic:pic>
              </a:graphicData>
            </a:graphic>
          </wp:anchor>
        </w:drawing>
      </w:r>
    </w:p>
    <w:p>
      <w:pPr>
        <w:spacing w:after="0" w:line="14"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1"/>
          <w:szCs w:val="1"/>
          <w:color w:val="auto"/>
        </w:rPr>
        <w:drawing>
          <wp:inline distT="0" distB="0" distL="0" distR="0">
            <wp:extent cx="97155" cy="8572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7155" cy="85725"/>
                    </a:xfrm>
                    <a:prstGeom prst="rect">
                      <a:avLst/>
                    </a:prstGeom>
                    <a:noFill/>
                    <a:ln>
                      <a:noFill/>
                    </a:ln>
                  </pic:spPr>
                </pic:pic>
              </a:graphicData>
            </a:graphic>
          </wp:inline>
        </w:drawing>
      </w:r>
    </w:p>
    <w:p>
      <w:pPr>
        <w:spacing w:after="0" w:line="36" w:lineRule="exact"/>
        <w:rPr>
          <w:sz w:val="20"/>
          <w:szCs w:val="20"/>
          <w:color w:val="auto"/>
        </w:rPr>
      </w:pPr>
    </w:p>
    <w:p>
      <w:pPr>
        <w:spacing w:after="0" w:line="288" w:lineRule="auto"/>
        <w:rPr>
          <w:sz w:val="20"/>
          <w:szCs w:val="20"/>
          <w:color w:val="auto"/>
        </w:rPr>
      </w:pPr>
      <w:r>
        <w:rPr>
          <w:rFonts w:ascii="Arial" w:cs="Arial" w:eastAsia="Arial" w:hAnsi="Arial"/>
          <w:sz w:val="13"/>
          <w:szCs w:val="13"/>
          <w:b w:val="1"/>
          <w:bCs w:val="1"/>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w:t>
      </w:r>
    </w:p>
    <w:p>
      <w:pPr>
        <w:spacing w:after="0" w:line="232" w:lineRule="auto"/>
        <w:rPr>
          <w:sz w:val="20"/>
          <w:szCs w:val="20"/>
          <w:color w:val="auto"/>
        </w:rPr>
      </w:pPr>
      <w:r>
        <w:rPr>
          <w:rFonts w:ascii="Arial" w:cs="Arial" w:eastAsia="Arial" w:hAnsi="Arial"/>
          <w:sz w:val="16"/>
          <w:szCs w:val="16"/>
          <w:b w:val="1"/>
          <w:bCs w:val="1"/>
          <w:color w:val="auto"/>
        </w:rPr>
        <w:t xml:space="preserve">its audit report. </w:t>
      </w:r>
      <w:r>
        <w:rPr>
          <w:sz w:val="1"/>
          <w:szCs w:val="1"/>
          <w:color w:val="auto"/>
        </w:rPr>
        <w:drawing>
          <wp:inline distT="0" distB="0" distL="0" distR="0">
            <wp:extent cx="97155" cy="8572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7155" cy="85725"/>
                    </a:xfrm>
                    <a:prstGeom prst="rect">
                      <a:avLst/>
                    </a:prstGeom>
                    <a:noFill/>
                    <a:ln>
                      <a:noFill/>
                    </a:ln>
                  </pic:spPr>
                </pic:pic>
              </a:graphicData>
            </a:graphic>
          </wp:inline>
        </w:drawing>
      </w:r>
    </w:p>
    <w:p>
      <w:pPr>
        <w:spacing w:after="0" w:line="39" w:lineRule="exact"/>
        <w:rPr>
          <w:sz w:val="20"/>
          <w:szCs w:val="20"/>
          <w:color w:val="auto"/>
        </w:rPr>
      </w:pPr>
    </w:p>
    <w:p>
      <w:pPr>
        <w:ind w:right="480"/>
        <w:spacing w:after="0" w:line="253" w:lineRule="auto"/>
        <w:rPr>
          <w:sz w:val="20"/>
          <w:szCs w:val="20"/>
          <w:color w:val="auto"/>
        </w:rPr>
      </w:pPr>
      <w:r>
        <w:rPr>
          <w:rFonts w:ascii="Arial" w:cs="Arial" w:eastAsia="Arial" w:hAnsi="Arial"/>
          <w:sz w:val="15"/>
          <w:szCs w:val="15"/>
          <w:b w:val="1"/>
          <w:bCs w:val="1"/>
          <w:color w:val="auto"/>
        </w:rPr>
        <w:t xml:space="preserve">If securities are registered pursuant to Section 12(b) of the Act, indicate by check mark whether the consolidated financial statements of the registrant included in the filing reflect the correction of an error to previously issued consolidated financial statements. </w:t>
      </w:r>
      <w:r>
        <w:rPr>
          <w:sz w:val="1"/>
          <w:szCs w:val="1"/>
          <w:color w:val="auto"/>
        </w:rPr>
        <w:drawing>
          <wp:inline distT="0" distB="0" distL="0" distR="0">
            <wp:extent cx="97155" cy="9715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p>
    <w:p>
      <w:pPr>
        <w:spacing w:after="0" w:line="8" w:lineRule="exact"/>
        <w:rPr>
          <w:sz w:val="20"/>
          <w:szCs w:val="20"/>
          <w:color w:val="auto"/>
        </w:rPr>
      </w:pPr>
    </w:p>
    <w:p>
      <w:pPr>
        <w:ind w:right="160"/>
        <w:spacing w:after="0" w:line="256" w:lineRule="auto"/>
        <w:rPr>
          <w:sz w:val="20"/>
          <w:szCs w:val="20"/>
          <w:color w:val="auto"/>
        </w:rPr>
      </w:pPr>
      <w:r>
        <w:rPr>
          <w:rFonts w:ascii="Arial" w:cs="Arial" w:eastAsia="Arial" w:hAnsi="Arial"/>
          <w:sz w:val="15"/>
          <w:szCs w:val="15"/>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sz w:val="1"/>
          <w:szCs w:val="1"/>
          <w:color w:val="auto"/>
        </w:rPr>
        <w:drawing>
          <wp:inline distT="0" distB="0" distL="0" distR="0">
            <wp:extent cx="97155" cy="9715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p>
    <w:p>
      <w:pPr>
        <w:spacing w:after="0" w:line="19" w:lineRule="exact"/>
        <w:rPr>
          <w:sz w:val="20"/>
          <w:szCs w:val="20"/>
          <w:color w:val="auto"/>
        </w:rPr>
      </w:pPr>
    </w:p>
    <w:p>
      <w:pPr>
        <w:spacing w:after="0"/>
        <w:tabs>
          <w:tab w:leader="none" w:pos="7460" w:val="left"/>
        </w:tabs>
        <w:rPr>
          <w:sz w:val="20"/>
          <w:szCs w:val="20"/>
          <w:color w:val="auto"/>
        </w:rPr>
      </w:pPr>
      <w:r>
        <w:rPr>
          <w:rFonts w:ascii="Arial" w:cs="Arial" w:eastAsia="Arial" w:hAnsi="Arial"/>
          <w:sz w:val="14"/>
          <w:szCs w:val="14"/>
          <w:b w:val="1"/>
          <w:bCs w:val="1"/>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b w:val="1"/>
          <w:bCs w:val="1"/>
          <w:color w:val="auto"/>
        </w:rPr>
        <w:t xml:space="preserve">YES </w:t>
      </w:r>
      <w:r>
        <w:rPr>
          <w:sz w:val="1"/>
          <w:szCs w:val="1"/>
          <w:color w:val="auto"/>
        </w:rPr>
        <w:drawing>
          <wp:inline distT="0" distB="0" distL="0" distR="0">
            <wp:extent cx="97155" cy="9715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r>
        <w:rPr>
          <w:rFonts w:ascii="Arial" w:cs="Arial" w:eastAsia="Arial" w:hAnsi="Arial"/>
          <w:sz w:val="16"/>
          <w:szCs w:val="16"/>
          <w:b w:val="1"/>
          <w:bCs w:val="1"/>
          <w:color w:val="auto"/>
        </w:rPr>
        <w:t xml:space="preserve">  NO </w:t>
      </w:r>
      <w:r>
        <w:rPr>
          <w:sz w:val="1"/>
          <w:szCs w:val="1"/>
          <w:color w:val="auto"/>
        </w:rPr>
        <w:drawing>
          <wp:inline distT="0" distB="0" distL="0" distR="0">
            <wp:extent cx="97155" cy="9715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p>
    <w:p>
      <w:pPr>
        <w:spacing w:after="0" w:line="36" w:lineRule="exact"/>
        <w:rPr>
          <w:sz w:val="20"/>
          <w:szCs w:val="20"/>
          <w:color w:val="auto"/>
        </w:rPr>
      </w:pPr>
    </w:p>
    <w:p>
      <w:pPr>
        <w:ind w:right="20"/>
        <w:spacing w:after="0" w:line="282" w:lineRule="auto"/>
        <w:rPr>
          <w:sz w:val="20"/>
          <w:szCs w:val="20"/>
          <w:color w:val="auto"/>
        </w:rPr>
      </w:pPr>
      <w:r>
        <w:rPr>
          <w:rFonts w:ascii="Arial" w:cs="Arial" w:eastAsia="Arial" w:hAnsi="Arial"/>
          <w:sz w:val="13"/>
          <w:szCs w:val="13"/>
          <w:b w:val="1"/>
          <w:bCs w:val="1"/>
          <w:color w:val="auto"/>
        </w:rPr>
        <w:t>The aggregate market value of common stock held by non-affiliates of the Registrant, based on the closing sales price for such stock on June 30, 2025, as reported by The Nasdaq Capital Market, was approximately $7.3 million. The calculation of the aggregate market value of voting and non-voting stock excludes certain shares of the Registrant’s common stock held by current executive officers, directors and stockholders that the Registrant has concluded are affiliates of the Registrant. Exclusion of such shares should not be construed to indicate that any such person possesses the power, direct or indirect, to direct or cause the direction of the management or policies of the Registrant or that such person is controlled by or under common control with the Registrant.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of March 6, 2026, the Registrant had 1,921,567 shares of common stock outstanding.</w:t>
      </w:r>
    </w:p>
    <w:p>
      <w:pPr>
        <w:spacing w:after="0" w:line="66"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DOCUMENTS INCORPORATED BY REFERENCE</w:t>
      </w:r>
    </w:p>
    <w:p>
      <w:pPr>
        <w:spacing w:after="0" w:line="72" w:lineRule="exact"/>
        <w:rPr>
          <w:sz w:val="20"/>
          <w:szCs w:val="20"/>
          <w:color w:val="auto"/>
        </w:rPr>
      </w:pPr>
    </w:p>
    <w:p>
      <w:pPr>
        <w:ind w:right="540"/>
        <w:spacing w:after="0" w:line="278" w:lineRule="auto"/>
        <w:rPr>
          <w:sz w:val="20"/>
          <w:szCs w:val="20"/>
          <w:color w:val="auto"/>
        </w:rPr>
      </w:pPr>
      <w:r>
        <w:rPr>
          <w:rFonts w:ascii="Arial" w:cs="Arial" w:eastAsia="Arial" w:hAnsi="Arial"/>
          <w:sz w:val="14"/>
          <w:szCs w:val="14"/>
          <w:b w:val="1"/>
          <w:bCs w:val="1"/>
          <w:color w:val="auto"/>
        </w:rPr>
        <w:t>Designated portions of the Proxy Statement relating to registrant’s 2026 Annual Meeting of Stockholders, which will be filed with the Securities and Exchange Commission within 120 days after the end of fiscal year 2025, are incorporated by reference into Part III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6400800" cy="4763"/>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400800" cy="4763"/>
                    </a:xfrm>
                    <a:prstGeom prst="rect">
                      <a:avLst/>
                    </a:prstGeom>
                    <a:noFill/>
                  </pic:spPr>
                </pic:pic>
              </a:graphicData>
            </a:graphic>
          </wp:anchor>
        </w:drawing>
      </w:r>
    </w:p>
    <w:p>
      <w:pPr>
        <w:sectPr>
          <w:pgSz w:w="12240" w:h="15840" w:orient="portrait"/>
          <w:cols w:equalWidth="0" w:num="1">
            <w:col w:w="10060"/>
          </w:cols>
          <w:pgMar w:left="1080" w:top="1085" w:right="1100" w:bottom="643"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19"/>
                <w:szCs w:val="19"/>
                <w:color w:val="auto"/>
              </w:rPr>
            </w:pPr>
          </w:p>
        </w:tc>
        <w:tc>
          <w:tcPr>
            <w:tcW w:w="7580" w:type="dxa"/>
            <w:vAlign w:val="bottom"/>
            <w:gridSpan w:val="2"/>
          </w:tcPr>
          <w:p>
            <w:pPr>
              <w:ind w:left="3180"/>
              <w:spacing w:after="0"/>
              <w:rPr>
                <w:sz w:val="20"/>
                <w:szCs w:val="20"/>
                <w:color w:val="auto"/>
              </w:rPr>
            </w:pPr>
            <w:r>
              <w:rPr>
                <w:rFonts w:ascii="Arial" w:cs="Arial" w:eastAsia="Arial" w:hAnsi="Arial"/>
                <w:sz w:val="20"/>
                <w:szCs w:val="20"/>
                <w:b w:val="1"/>
                <w:bCs w:val="1"/>
                <w:color w:val="auto"/>
              </w:rPr>
              <w:t>Table of Contents</w:t>
            </w:r>
          </w:p>
        </w:tc>
      </w:tr>
      <w:tr>
        <w:trPr>
          <w:trHeight w:val="737"/>
        </w:trPr>
        <w:tc>
          <w:tcPr>
            <w:tcW w:w="1100" w:type="dxa"/>
            <w:vAlign w:val="bottom"/>
          </w:tcPr>
          <w:p>
            <w:pPr>
              <w:spacing w:after="0"/>
              <w:rPr>
                <w:sz w:val="20"/>
                <w:szCs w:val="20"/>
                <w:color w:val="auto"/>
              </w:rPr>
            </w:pPr>
            <w:r>
              <w:rPr>
                <w:rFonts w:ascii="Arial" w:cs="Arial" w:eastAsia="Arial" w:hAnsi="Arial"/>
                <w:sz w:val="20"/>
                <w:szCs w:val="20"/>
                <w:b w:val="1"/>
                <w:bCs w:val="1"/>
                <w:color w:val="auto"/>
              </w:rPr>
              <w:t>PART I</w:t>
            </w:r>
          </w:p>
        </w:tc>
        <w:tc>
          <w:tcPr>
            <w:tcW w:w="7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6"/>
        </w:trPr>
        <w:tc>
          <w:tcPr>
            <w:tcW w:w="1100" w:type="dxa"/>
            <w:vAlign w:val="bottom"/>
          </w:tcPr>
          <w:p>
            <w:pPr>
              <w:spacing w:after="0"/>
              <w:rPr>
                <w:sz w:val="20"/>
                <w:szCs w:val="20"/>
                <w:color w:val="auto"/>
              </w:rPr>
            </w:pPr>
            <w:r>
              <w:rPr>
                <w:rFonts w:ascii="Arial" w:cs="Arial" w:eastAsia="Arial" w:hAnsi="Arial"/>
                <w:sz w:val="20"/>
                <w:szCs w:val="20"/>
                <w:b w:val="1"/>
                <w:bCs w:val="1"/>
                <w:color w:val="auto"/>
              </w:rPr>
              <w:t>Item 1.</w:t>
            </w: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Business</w:t>
            </w:r>
          </w:p>
        </w:tc>
      </w:tr>
      <w:tr>
        <w:trPr>
          <w:trHeight w:val="276"/>
        </w:trPr>
        <w:tc>
          <w:tcPr>
            <w:tcW w:w="110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Risk Factors</w:t>
            </w:r>
          </w:p>
        </w:tc>
      </w:tr>
      <w:tr>
        <w:trPr>
          <w:trHeight w:val="276"/>
        </w:trPr>
        <w:tc>
          <w:tcPr>
            <w:tcW w:w="110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Unresolved Staff Comments</w:t>
            </w:r>
          </w:p>
        </w:tc>
      </w:tr>
      <w:tr>
        <w:trPr>
          <w:trHeight w:val="276"/>
        </w:trPr>
        <w:tc>
          <w:tcPr>
            <w:tcW w:w="1100" w:type="dxa"/>
            <w:vAlign w:val="bottom"/>
          </w:tcPr>
          <w:p>
            <w:pPr>
              <w:spacing w:after="0"/>
              <w:rPr>
                <w:sz w:val="20"/>
                <w:szCs w:val="20"/>
                <w:color w:val="auto"/>
              </w:rPr>
            </w:pPr>
            <w:r>
              <w:rPr>
                <w:rFonts w:ascii="Arial" w:cs="Arial" w:eastAsia="Arial" w:hAnsi="Arial"/>
                <w:sz w:val="20"/>
                <w:szCs w:val="20"/>
                <w:b w:val="1"/>
                <w:bCs w:val="1"/>
                <w:color w:val="auto"/>
              </w:rPr>
              <w:t>Item 1C.</w:t>
            </w: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Cybersecurity</w:t>
            </w:r>
          </w:p>
        </w:tc>
      </w:tr>
      <w:tr>
        <w:trPr>
          <w:trHeight w:val="276"/>
        </w:trPr>
        <w:tc>
          <w:tcPr>
            <w:tcW w:w="1100" w:type="dxa"/>
            <w:vAlign w:val="bottom"/>
          </w:tcPr>
          <w:p>
            <w:pPr>
              <w:spacing w:after="0"/>
              <w:rPr>
                <w:sz w:val="20"/>
                <w:szCs w:val="20"/>
                <w:color w:val="auto"/>
              </w:rPr>
            </w:pPr>
            <w:r>
              <w:rPr>
                <w:rFonts w:ascii="Arial" w:cs="Arial" w:eastAsia="Arial" w:hAnsi="Arial"/>
                <w:sz w:val="20"/>
                <w:szCs w:val="20"/>
                <w:b w:val="1"/>
                <w:bCs w:val="1"/>
                <w:color w:val="auto"/>
              </w:rPr>
              <w:t>Item 2.</w:t>
            </w: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Properties</w:t>
            </w:r>
          </w:p>
        </w:tc>
      </w:tr>
      <w:tr>
        <w:trPr>
          <w:trHeight w:val="276"/>
        </w:trPr>
        <w:tc>
          <w:tcPr>
            <w:tcW w:w="110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Legal Proceedings</w:t>
            </w:r>
          </w:p>
        </w:tc>
      </w:tr>
      <w:tr>
        <w:trPr>
          <w:trHeight w:val="276"/>
        </w:trPr>
        <w:tc>
          <w:tcPr>
            <w:tcW w:w="1100" w:type="dxa"/>
            <w:vAlign w:val="bottom"/>
          </w:tcPr>
          <w:p>
            <w:pPr>
              <w:spacing w:after="0"/>
              <w:rPr>
                <w:sz w:val="20"/>
                <w:szCs w:val="20"/>
                <w:color w:val="auto"/>
              </w:rPr>
            </w:pPr>
            <w:r>
              <w:rPr>
                <w:rFonts w:ascii="Arial" w:cs="Arial" w:eastAsia="Arial" w:hAnsi="Arial"/>
                <w:sz w:val="20"/>
                <w:szCs w:val="20"/>
                <w:b w:val="1"/>
                <w:bCs w:val="1"/>
                <w:color w:val="auto"/>
              </w:rPr>
              <w:t>Item 4.</w:t>
            </w: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Mine Safety Disclosures</w:t>
            </w:r>
          </w:p>
        </w:tc>
      </w:tr>
      <w:tr>
        <w:trPr>
          <w:trHeight w:val="506"/>
        </w:trPr>
        <w:tc>
          <w:tcPr>
            <w:tcW w:w="1100" w:type="dxa"/>
            <w:vAlign w:val="bottom"/>
          </w:tcPr>
          <w:p>
            <w:pPr>
              <w:spacing w:after="0"/>
              <w:rPr>
                <w:sz w:val="20"/>
                <w:szCs w:val="20"/>
                <w:color w:val="auto"/>
              </w:rPr>
            </w:pPr>
            <w:r>
              <w:rPr>
                <w:rFonts w:ascii="Arial" w:cs="Arial" w:eastAsia="Arial" w:hAnsi="Arial"/>
                <w:sz w:val="20"/>
                <w:szCs w:val="20"/>
                <w:b w:val="1"/>
                <w:bCs w:val="1"/>
                <w:color w:val="auto"/>
              </w:rPr>
              <w:t>PART II</w:t>
            </w:r>
          </w:p>
        </w:tc>
        <w:tc>
          <w:tcPr>
            <w:tcW w:w="7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6"/>
        </w:trPr>
        <w:tc>
          <w:tcPr>
            <w:tcW w:w="1100" w:type="dxa"/>
            <w:vAlign w:val="bottom"/>
          </w:tcPr>
          <w:p>
            <w:pPr>
              <w:spacing w:after="0"/>
              <w:rPr>
                <w:sz w:val="20"/>
                <w:szCs w:val="20"/>
                <w:color w:val="auto"/>
              </w:rPr>
            </w:pPr>
            <w:r>
              <w:rPr>
                <w:rFonts w:ascii="Arial" w:cs="Arial" w:eastAsia="Arial" w:hAnsi="Arial"/>
                <w:sz w:val="20"/>
                <w:szCs w:val="20"/>
                <w:b w:val="1"/>
                <w:bCs w:val="1"/>
                <w:color w:val="auto"/>
              </w:rPr>
              <w:t>Item 5.</w:t>
            </w: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w w:val="84"/>
              </w:rPr>
              <w:t>Market for Registrant’s Common Equity, Related Stockholder Matters and Issuer Purchases of</w:t>
            </w:r>
          </w:p>
        </w:tc>
      </w:tr>
      <w:tr>
        <w:trPr>
          <w:trHeight w:val="230"/>
        </w:trPr>
        <w:tc>
          <w:tcPr>
            <w:tcW w:w="1100" w:type="dxa"/>
            <w:vAlign w:val="bottom"/>
          </w:tcPr>
          <w:p>
            <w:pPr>
              <w:spacing w:after="0"/>
              <w:rPr>
                <w:sz w:val="20"/>
                <w:szCs w:val="20"/>
                <w:color w:val="auto"/>
              </w:rPr>
            </w:pP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Equity Securities</w:t>
            </w:r>
          </w:p>
        </w:tc>
      </w:tr>
      <w:tr>
        <w:trPr>
          <w:trHeight w:val="230"/>
        </w:trPr>
        <w:tc>
          <w:tcPr>
            <w:tcW w:w="110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Reserved</w:t>
            </w:r>
          </w:p>
        </w:tc>
      </w:tr>
      <w:tr>
        <w:trPr>
          <w:trHeight w:val="276"/>
        </w:trPr>
        <w:tc>
          <w:tcPr>
            <w:tcW w:w="1100" w:type="dxa"/>
            <w:vAlign w:val="bottom"/>
          </w:tcPr>
          <w:p>
            <w:pPr>
              <w:spacing w:after="0"/>
              <w:rPr>
                <w:sz w:val="20"/>
                <w:szCs w:val="20"/>
                <w:color w:val="auto"/>
              </w:rPr>
            </w:pPr>
            <w:r>
              <w:rPr>
                <w:rFonts w:ascii="Arial" w:cs="Arial" w:eastAsia="Arial" w:hAnsi="Arial"/>
                <w:sz w:val="20"/>
                <w:szCs w:val="20"/>
                <w:b w:val="1"/>
                <w:bCs w:val="1"/>
                <w:color w:val="auto"/>
              </w:rPr>
              <w:t>Item 7.</w:t>
            </w: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w w:val="88"/>
              </w:rPr>
              <w:t>Management’s Discussion and Analysis of Financial Condition and Results of Operations</w:t>
            </w:r>
          </w:p>
        </w:tc>
      </w:tr>
      <w:tr>
        <w:trPr>
          <w:trHeight w:val="276"/>
        </w:trPr>
        <w:tc>
          <w:tcPr>
            <w:tcW w:w="1100" w:type="dxa"/>
            <w:vAlign w:val="bottom"/>
          </w:tcPr>
          <w:p>
            <w:pPr>
              <w:spacing w:after="0"/>
              <w:rPr>
                <w:sz w:val="20"/>
                <w:szCs w:val="20"/>
                <w:color w:val="auto"/>
              </w:rPr>
            </w:pPr>
            <w:r>
              <w:rPr>
                <w:rFonts w:ascii="Arial" w:cs="Arial" w:eastAsia="Arial" w:hAnsi="Arial"/>
                <w:sz w:val="20"/>
                <w:szCs w:val="20"/>
                <w:b w:val="1"/>
                <w:bCs w:val="1"/>
                <w:color w:val="auto"/>
              </w:rPr>
              <w:t>Item 7A.</w:t>
            </w: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Quantitative and Qualitative Disclosures About Market Risk</w:t>
            </w:r>
          </w:p>
        </w:tc>
      </w:tr>
      <w:tr>
        <w:trPr>
          <w:trHeight w:val="276"/>
        </w:trPr>
        <w:tc>
          <w:tcPr>
            <w:tcW w:w="1100" w:type="dxa"/>
            <w:vAlign w:val="bottom"/>
          </w:tcPr>
          <w:p>
            <w:pPr>
              <w:spacing w:after="0"/>
              <w:rPr>
                <w:sz w:val="20"/>
                <w:szCs w:val="20"/>
                <w:color w:val="auto"/>
              </w:rPr>
            </w:pPr>
            <w:r>
              <w:rPr>
                <w:rFonts w:ascii="Arial" w:cs="Arial" w:eastAsia="Arial" w:hAnsi="Arial"/>
                <w:sz w:val="20"/>
                <w:szCs w:val="20"/>
                <w:b w:val="1"/>
                <w:bCs w:val="1"/>
                <w:color w:val="auto"/>
              </w:rPr>
              <w:t>Item 8.</w:t>
            </w: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Consolidated Financial Statements and Supplementary Data</w:t>
            </w:r>
          </w:p>
        </w:tc>
      </w:tr>
      <w:tr>
        <w:trPr>
          <w:trHeight w:val="259"/>
        </w:trPr>
        <w:tc>
          <w:tcPr>
            <w:tcW w:w="1100" w:type="dxa"/>
            <w:vAlign w:val="bottom"/>
          </w:tcPr>
          <w:p>
            <w:pPr>
              <w:spacing w:after="0"/>
              <w:rPr>
                <w:sz w:val="20"/>
                <w:szCs w:val="20"/>
                <w:color w:val="auto"/>
              </w:rPr>
            </w:pPr>
            <w:r>
              <w:rPr>
                <w:rFonts w:ascii="Arial" w:cs="Arial" w:eastAsia="Arial" w:hAnsi="Arial"/>
                <w:sz w:val="20"/>
                <w:szCs w:val="20"/>
                <w:b w:val="1"/>
                <w:bCs w:val="1"/>
                <w:color w:val="auto"/>
              </w:rPr>
              <w:t>Item 9.</w:t>
            </w:r>
          </w:p>
        </w:tc>
        <w:tc>
          <w:tcPr>
            <w:tcW w:w="72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4"/>
              </w:rPr>
              <w:t>Changes in and Disagreements With Accountants on Accounting and Financial Disclosure</w:t>
            </w:r>
          </w:p>
        </w:tc>
        <w:tc>
          <w:tcPr>
            <w:tcW w:w="320" w:type="dxa"/>
            <w:vAlign w:val="bottom"/>
          </w:tcPr>
          <w:p>
            <w:pPr>
              <w:spacing w:after="0"/>
              <w:rPr>
                <w:sz w:val="22"/>
                <w:szCs w:val="22"/>
                <w:color w:val="auto"/>
              </w:rPr>
            </w:pPr>
          </w:p>
        </w:tc>
      </w:tr>
      <w:tr>
        <w:trPr>
          <w:trHeight w:val="273"/>
        </w:trPr>
        <w:tc>
          <w:tcPr>
            <w:tcW w:w="1100" w:type="dxa"/>
            <w:vAlign w:val="bottom"/>
          </w:tcPr>
          <w:p>
            <w:pPr>
              <w:spacing w:after="0"/>
              <w:rPr>
                <w:sz w:val="20"/>
                <w:szCs w:val="20"/>
                <w:color w:val="auto"/>
              </w:rPr>
            </w:pPr>
            <w:r>
              <w:rPr>
                <w:rFonts w:ascii="Arial" w:cs="Arial" w:eastAsia="Arial" w:hAnsi="Arial"/>
                <w:sz w:val="20"/>
                <w:szCs w:val="20"/>
                <w:b w:val="1"/>
                <w:bCs w:val="1"/>
                <w:color w:val="auto"/>
              </w:rPr>
              <w:t>Item 9A.</w:t>
            </w: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Controls and Procedures</w:t>
            </w:r>
          </w:p>
        </w:tc>
      </w:tr>
      <w:tr>
        <w:trPr>
          <w:trHeight w:val="276"/>
        </w:trPr>
        <w:tc>
          <w:tcPr>
            <w:tcW w:w="1100" w:type="dxa"/>
            <w:vAlign w:val="bottom"/>
          </w:tcPr>
          <w:p>
            <w:pPr>
              <w:spacing w:after="0"/>
              <w:rPr>
                <w:sz w:val="20"/>
                <w:szCs w:val="20"/>
                <w:color w:val="auto"/>
              </w:rPr>
            </w:pPr>
            <w:r>
              <w:rPr>
                <w:rFonts w:ascii="Arial" w:cs="Arial" w:eastAsia="Arial" w:hAnsi="Arial"/>
                <w:sz w:val="20"/>
                <w:szCs w:val="20"/>
                <w:b w:val="1"/>
                <w:bCs w:val="1"/>
                <w:color w:val="auto"/>
              </w:rPr>
              <w:t>Item 9B.</w:t>
            </w: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Other Information</w:t>
            </w:r>
          </w:p>
        </w:tc>
      </w:tr>
      <w:tr>
        <w:trPr>
          <w:trHeight w:val="276"/>
        </w:trPr>
        <w:tc>
          <w:tcPr>
            <w:tcW w:w="1100" w:type="dxa"/>
            <w:vAlign w:val="bottom"/>
          </w:tcPr>
          <w:p>
            <w:pPr>
              <w:spacing w:after="0"/>
              <w:rPr>
                <w:sz w:val="20"/>
                <w:szCs w:val="20"/>
                <w:color w:val="auto"/>
              </w:rPr>
            </w:pPr>
            <w:r>
              <w:rPr>
                <w:rFonts w:ascii="Arial" w:cs="Arial" w:eastAsia="Arial" w:hAnsi="Arial"/>
                <w:sz w:val="20"/>
                <w:szCs w:val="20"/>
                <w:b w:val="1"/>
                <w:bCs w:val="1"/>
                <w:color w:val="auto"/>
              </w:rPr>
              <w:t>Item 9C.</w:t>
            </w: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Disclosure Regarding Foreign Jurisdictions that Prevent Inspections</w:t>
            </w:r>
          </w:p>
        </w:tc>
      </w:tr>
      <w:tr>
        <w:trPr>
          <w:trHeight w:val="506"/>
        </w:trPr>
        <w:tc>
          <w:tcPr>
            <w:tcW w:w="1100" w:type="dxa"/>
            <w:vAlign w:val="bottom"/>
          </w:tcPr>
          <w:p>
            <w:pPr>
              <w:spacing w:after="0"/>
              <w:rPr>
                <w:sz w:val="20"/>
                <w:szCs w:val="20"/>
                <w:color w:val="auto"/>
              </w:rPr>
            </w:pPr>
            <w:r>
              <w:rPr>
                <w:rFonts w:ascii="Arial" w:cs="Arial" w:eastAsia="Arial" w:hAnsi="Arial"/>
                <w:sz w:val="20"/>
                <w:szCs w:val="20"/>
                <w:b w:val="1"/>
                <w:bCs w:val="1"/>
                <w:color w:val="auto"/>
              </w:rPr>
              <w:t>PART III</w:t>
            </w:r>
          </w:p>
        </w:tc>
        <w:tc>
          <w:tcPr>
            <w:tcW w:w="7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6"/>
        </w:trPr>
        <w:tc>
          <w:tcPr>
            <w:tcW w:w="1100" w:type="dxa"/>
            <w:vAlign w:val="bottom"/>
          </w:tcPr>
          <w:p>
            <w:pPr>
              <w:spacing w:after="0"/>
              <w:rPr>
                <w:sz w:val="20"/>
                <w:szCs w:val="20"/>
                <w:color w:val="auto"/>
              </w:rPr>
            </w:pPr>
            <w:r>
              <w:rPr>
                <w:rFonts w:ascii="Arial" w:cs="Arial" w:eastAsia="Arial" w:hAnsi="Arial"/>
                <w:sz w:val="20"/>
                <w:szCs w:val="20"/>
                <w:b w:val="1"/>
                <w:bCs w:val="1"/>
                <w:color w:val="auto"/>
              </w:rPr>
              <w:t>Item 10.</w:t>
            </w: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Directors, Executive Officers and Corporate Governance</w:t>
            </w:r>
          </w:p>
        </w:tc>
      </w:tr>
      <w:tr>
        <w:trPr>
          <w:trHeight w:val="276"/>
        </w:trPr>
        <w:tc>
          <w:tcPr>
            <w:tcW w:w="1100" w:type="dxa"/>
            <w:vAlign w:val="bottom"/>
          </w:tcPr>
          <w:p>
            <w:pPr>
              <w:spacing w:after="0"/>
              <w:rPr>
                <w:sz w:val="20"/>
                <w:szCs w:val="20"/>
                <w:color w:val="auto"/>
              </w:rPr>
            </w:pPr>
            <w:r>
              <w:rPr>
                <w:rFonts w:ascii="Arial" w:cs="Arial" w:eastAsia="Arial" w:hAnsi="Arial"/>
                <w:sz w:val="20"/>
                <w:szCs w:val="20"/>
                <w:b w:val="1"/>
                <w:bCs w:val="1"/>
                <w:color w:val="auto"/>
              </w:rPr>
              <w:t>Item 11.</w:t>
            </w: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Executive Compensation</w:t>
            </w:r>
          </w:p>
        </w:tc>
      </w:tr>
      <w:tr>
        <w:trPr>
          <w:trHeight w:val="276"/>
        </w:trPr>
        <w:tc>
          <w:tcPr>
            <w:tcW w:w="1100" w:type="dxa"/>
            <w:vAlign w:val="bottom"/>
          </w:tcPr>
          <w:p>
            <w:pPr>
              <w:spacing w:after="0"/>
              <w:rPr>
                <w:sz w:val="20"/>
                <w:szCs w:val="20"/>
                <w:color w:val="auto"/>
              </w:rPr>
            </w:pPr>
            <w:r>
              <w:rPr>
                <w:rFonts w:ascii="Arial" w:cs="Arial" w:eastAsia="Arial" w:hAnsi="Arial"/>
                <w:sz w:val="20"/>
                <w:szCs w:val="20"/>
                <w:b w:val="1"/>
                <w:bCs w:val="1"/>
                <w:color w:val="auto"/>
              </w:rPr>
              <w:t>Item 12.</w:t>
            </w: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w w:val="86"/>
              </w:rPr>
              <w:t>Security Ownership of Certain Beneficial Owners and Management and Related Stockholder</w:t>
            </w:r>
          </w:p>
        </w:tc>
      </w:tr>
      <w:tr>
        <w:trPr>
          <w:trHeight w:val="228"/>
        </w:trPr>
        <w:tc>
          <w:tcPr>
            <w:tcW w:w="1100" w:type="dxa"/>
            <w:vAlign w:val="bottom"/>
          </w:tcPr>
          <w:p>
            <w:pPr>
              <w:spacing w:after="0"/>
              <w:rPr>
                <w:sz w:val="19"/>
                <w:szCs w:val="19"/>
                <w:color w:val="auto"/>
              </w:rPr>
            </w:pPr>
          </w:p>
        </w:tc>
        <w:tc>
          <w:tcPr>
            <w:tcW w:w="75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rPr>
              <w:t>Matters</w:t>
            </w:r>
          </w:p>
        </w:tc>
      </w:tr>
      <w:tr>
        <w:trPr>
          <w:trHeight w:val="230"/>
        </w:trPr>
        <w:tc>
          <w:tcPr>
            <w:tcW w:w="1100" w:type="dxa"/>
            <w:vAlign w:val="bottom"/>
          </w:tcPr>
          <w:p>
            <w:pPr>
              <w:spacing w:after="0"/>
              <w:rPr>
                <w:sz w:val="20"/>
                <w:szCs w:val="20"/>
                <w:color w:val="auto"/>
              </w:rPr>
            </w:pPr>
            <w:r>
              <w:rPr>
                <w:rFonts w:ascii="Arial" w:cs="Arial" w:eastAsia="Arial" w:hAnsi="Arial"/>
                <w:sz w:val="20"/>
                <w:szCs w:val="20"/>
                <w:b w:val="1"/>
                <w:bCs w:val="1"/>
                <w:color w:val="auto"/>
              </w:rPr>
              <w:t>Item 13.</w:t>
            </w: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Certain Relationships and Related Transactions, and Director Independence</w:t>
            </w:r>
          </w:p>
        </w:tc>
      </w:tr>
      <w:tr>
        <w:trPr>
          <w:trHeight w:val="276"/>
        </w:trPr>
        <w:tc>
          <w:tcPr>
            <w:tcW w:w="1100" w:type="dxa"/>
            <w:vAlign w:val="bottom"/>
          </w:tcPr>
          <w:p>
            <w:pPr>
              <w:spacing w:after="0"/>
              <w:rPr>
                <w:sz w:val="20"/>
                <w:szCs w:val="20"/>
                <w:color w:val="auto"/>
              </w:rPr>
            </w:pPr>
            <w:r>
              <w:rPr>
                <w:rFonts w:ascii="Arial" w:cs="Arial" w:eastAsia="Arial" w:hAnsi="Arial"/>
                <w:sz w:val="20"/>
                <w:szCs w:val="20"/>
                <w:b w:val="1"/>
                <w:bCs w:val="1"/>
                <w:color w:val="auto"/>
              </w:rPr>
              <w:t>Item 14.</w:t>
            </w: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Principal Accounting Fees and Services</w:t>
            </w:r>
          </w:p>
        </w:tc>
      </w:tr>
      <w:tr>
        <w:trPr>
          <w:trHeight w:val="506"/>
        </w:trPr>
        <w:tc>
          <w:tcPr>
            <w:tcW w:w="1100" w:type="dxa"/>
            <w:vAlign w:val="bottom"/>
          </w:tcPr>
          <w:p>
            <w:pPr>
              <w:spacing w:after="0"/>
              <w:rPr>
                <w:sz w:val="20"/>
                <w:szCs w:val="20"/>
                <w:color w:val="auto"/>
              </w:rPr>
            </w:pPr>
            <w:r>
              <w:rPr>
                <w:rFonts w:ascii="Arial" w:cs="Arial" w:eastAsia="Arial" w:hAnsi="Arial"/>
                <w:sz w:val="20"/>
                <w:szCs w:val="20"/>
                <w:b w:val="1"/>
                <w:bCs w:val="1"/>
                <w:color w:val="auto"/>
              </w:rPr>
              <w:t>PART IV</w:t>
            </w:r>
          </w:p>
        </w:tc>
        <w:tc>
          <w:tcPr>
            <w:tcW w:w="7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6"/>
        </w:trPr>
        <w:tc>
          <w:tcPr>
            <w:tcW w:w="1100" w:type="dxa"/>
            <w:vAlign w:val="bottom"/>
          </w:tcPr>
          <w:p>
            <w:pPr>
              <w:spacing w:after="0"/>
              <w:rPr>
                <w:sz w:val="20"/>
                <w:szCs w:val="20"/>
                <w:color w:val="auto"/>
              </w:rPr>
            </w:pPr>
            <w:r>
              <w:rPr>
                <w:rFonts w:ascii="Arial" w:cs="Arial" w:eastAsia="Arial" w:hAnsi="Arial"/>
                <w:sz w:val="20"/>
                <w:szCs w:val="20"/>
                <w:b w:val="1"/>
                <w:bCs w:val="1"/>
                <w:color w:val="auto"/>
              </w:rPr>
              <w:t>Item 15.</w:t>
            </w: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Exhibits and Consolidated Financial Statement Schedules</w:t>
            </w:r>
          </w:p>
        </w:tc>
      </w:tr>
      <w:tr>
        <w:trPr>
          <w:trHeight w:val="276"/>
        </w:trPr>
        <w:tc>
          <w:tcPr>
            <w:tcW w:w="1100" w:type="dxa"/>
            <w:vAlign w:val="bottom"/>
          </w:tcPr>
          <w:p>
            <w:pPr>
              <w:spacing w:after="0"/>
              <w:rPr>
                <w:sz w:val="20"/>
                <w:szCs w:val="20"/>
                <w:color w:val="auto"/>
              </w:rPr>
            </w:pPr>
            <w:r>
              <w:rPr>
                <w:rFonts w:ascii="Arial" w:cs="Arial" w:eastAsia="Arial" w:hAnsi="Arial"/>
                <w:sz w:val="20"/>
                <w:szCs w:val="20"/>
                <w:b w:val="1"/>
                <w:bCs w:val="1"/>
                <w:color w:val="auto"/>
              </w:rPr>
              <w:t>Item 16</w:t>
            </w:r>
          </w:p>
        </w:tc>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Form 10-K Summary</w:t>
            </w:r>
          </w:p>
        </w:tc>
      </w:tr>
      <w:tr>
        <w:trPr>
          <w:trHeight w:val="276"/>
        </w:trPr>
        <w:tc>
          <w:tcPr>
            <w:tcW w:w="1100" w:type="dxa"/>
            <w:vAlign w:val="bottom"/>
          </w:tcPr>
          <w:p>
            <w:pPr>
              <w:spacing w:after="0"/>
              <w:rPr>
                <w:sz w:val="20"/>
                <w:szCs w:val="20"/>
                <w:color w:val="auto"/>
              </w:rPr>
            </w:pPr>
            <w:r>
              <w:rPr>
                <w:rFonts w:ascii="Arial" w:cs="Arial" w:eastAsia="Arial" w:hAnsi="Arial"/>
                <w:sz w:val="20"/>
                <w:szCs w:val="20"/>
                <w:b w:val="1"/>
                <w:bCs w:val="1"/>
                <w:color w:val="auto"/>
              </w:rPr>
              <w:t>Signatures</w:t>
            </w:r>
          </w:p>
        </w:tc>
        <w:tc>
          <w:tcPr>
            <w:tcW w:w="72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17780</wp:posOffset>
            </wp:positionV>
            <wp:extent cx="448310" cy="120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48310" cy="12065"/>
                    </a:xfrm>
                    <a:prstGeom prst="rect">
                      <a:avLst/>
                    </a:prstGeom>
                    <a:noFill/>
                  </pic:spPr>
                </pic:pic>
              </a:graphicData>
            </a:graphic>
          </wp:anchor>
        </w:drawing>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3</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19</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63</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63</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65</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65</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65</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66</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66</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67</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78</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79</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110</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110</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111</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111</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112</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112</w:t>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112</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112</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113</w:t>
      </w: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114</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116</w:t>
      </w:r>
    </w:p>
    <w:p>
      <w:pPr>
        <w:spacing w:after="0" w:line="454" w:lineRule="exact"/>
        <w:rPr>
          <w:sz w:val="20"/>
          <w:szCs w:val="20"/>
          <w:color w:val="auto"/>
        </w:rPr>
      </w:pPr>
    </w:p>
    <w:p>
      <w:pPr>
        <w:sectPr>
          <w:pgSz w:w="12240" w:h="15840" w:orient="portrait"/>
          <w:cols w:equalWidth="0" w:num="2">
            <w:col w:w="8740" w:space="720"/>
            <w:col w:w="520"/>
          </w:cols>
          <w:pgMar w:left="1080" w:top="1079" w:right="118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i</w:t>
      </w:r>
    </w:p>
    <w:p>
      <w:pPr>
        <w:sectPr>
          <w:pgSz w:w="12240" w:h="15840" w:orient="portrait"/>
          <w:cols w:equalWidth="0" w:num="1">
            <w:col w:w="9980"/>
          </w:cols>
          <w:pgMar w:left="1080" w:top="1079" w:right="1180" w:bottom="215" w:gutter="0" w:footer="0" w:header="0"/>
          <w:type w:val="continuous"/>
        </w:sectPr>
      </w:pPr>
    </w:p>
    <w:bookmarkStart w:id="40" w:name="page41"/>
    <w:bookmarkEnd w:id="40"/>
    <w:p>
      <w:pPr>
        <w:jc w:val="center"/>
        <w:ind w:right="-19"/>
        <w:spacing w:after="0"/>
        <w:rPr>
          <w:sz w:val="20"/>
          <w:szCs w:val="20"/>
          <w:color w:val="auto"/>
        </w:rPr>
      </w:pPr>
      <w:r>
        <w:rPr>
          <w:rFonts w:ascii="Arial" w:cs="Arial" w:eastAsia="Arial" w:hAnsi="Arial"/>
          <w:sz w:val="20"/>
          <w:szCs w:val="20"/>
          <w:b w:val="1"/>
          <w:bCs w:val="1"/>
          <w:color w:val="auto"/>
        </w:rPr>
        <w:t>SPECIAL NOTE REGARDING FORWARD-LOOKING STATEMENTS</w:t>
      </w:r>
    </w:p>
    <w:p>
      <w:pPr>
        <w:spacing w:after="0" w:line="251" w:lineRule="exact"/>
        <w:rPr>
          <w:sz w:val="20"/>
          <w:szCs w:val="20"/>
          <w:color w:val="auto"/>
        </w:rPr>
      </w:pPr>
    </w:p>
    <w:p>
      <w:pPr>
        <w:jc w:val="both"/>
        <w:ind w:right="80"/>
        <w:spacing w:after="0" w:line="273" w:lineRule="auto"/>
        <w:rPr>
          <w:sz w:val="20"/>
          <w:szCs w:val="20"/>
          <w:color w:val="auto"/>
        </w:rPr>
      </w:pPr>
      <w:r>
        <w:rPr>
          <w:rFonts w:ascii="Arial" w:cs="Arial" w:eastAsia="Arial" w:hAnsi="Arial"/>
          <w:sz w:val="18"/>
          <w:szCs w:val="18"/>
          <w:b w:val="1"/>
          <w:bCs w:val="1"/>
          <w:color w:val="auto"/>
        </w:rPr>
        <w:t>This Annual Report contains forward-looking statements within the meaning of Section 21E of the Securities Exchange Act of 1934, as amended (the “Exchange Act”). All statements other than statements of historical facts contained in this Annual Report are forward-looking statements, including statements regarding:</w:t>
      </w:r>
    </w:p>
    <w:p>
      <w:pPr>
        <w:spacing w:after="0" w:line="117" w:lineRule="exact"/>
        <w:rPr>
          <w:sz w:val="20"/>
          <w:szCs w:val="20"/>
          <w:color w:val="auto"/>
        </w:rPr>
      </w:pPr>
    </w:p>
    <w:p>
      <w:pPr>
        <w:ind w:left="860" w:right="180"/>
        <w:spacing w:after="0" w:line="234" w:lineRule="auto"/>
        <w:rPr>
          <w:sz w:val="20"/>
          <w:szCs w:val="20"/>
          <w:color w:val="auto"/>
        </w:rPr>
      </w:pPr>
      <w:r>
        <w:rPr>
          <w:rFonts w:ascii="Arial" w:cs="Arial" w:eastAsia="Arial" w:hAnsi="Arial"/>
          <w:sz w:val="20"/>
          <w:szCs w:val="20"/>
          <w:b w:val="1"/>
          <w:bCs w:val="1"/>
          <w:color w:val="auto"/>
        </w:rPr>
        <w:t>our expectations regarding the success of our development and commercialization strategy and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-243840</wp:posOffset>
            </wp:positionV>
            <wp:extent cx="75565" cy="711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5565" cy="71120"/>
                    </a:xfrm>
                    <a:prstGeom prst="rect">
                      <a:avLst/>
                    </a:prstGeom>
                    <a:noFill/>
                  </pic:spPr>
                </pic:pic>
              </a:graphicData>
            </a:graphic>
          </wp:anchor>
        </w:drawing>
      </w:r>
    </w:p>
    <w:p>
      <w:pPr>
        <w:spacing w:after="0" w:line="127" w:lineRule="exact"/>
        <w:rPr>
          <w:sz w:val="20"/>
          <w:szCs w:val="20"/>
          <w:color w:val="auto"/>
        </w:rPr>
      </w:pPr>
    </w:p>
    <w:p>
      <w:pPr>
        <w:ind w:left="860" w:right="440"/>
        <w:spacing w:after="0" w:line="369" w:lineRule="auto"/>
        <w:rPr>
          <w:sz w:val="20"/>
          <w:szCs w:val="20"/>
          <w:color w:val="auto"/>
        </w:rPr>
      </w:pPr>
      <w:r>
        <w:rPr>
          <w:rFonts w:ascii="Arial" w:cs="Arial" w:eastAsia="Arial" w:hAnsi="Arial"/>
          <w:sz w:val="20"/>
          <w:szCs w:val="20"/>
          <w:b w:val="1"/>
          <w:bCs w:val="1"/>
          <w:color w:val="auto"/>
        </w:rPr>
        <w:t>our expectations regarding the operation of our product candidates, collaborations and related benefits; our beliefs regarding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-407670</wp:posOffset>
            </wp:positionV>
            <wp:extent cx="75565" cy="711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5565" cy="7112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-175895</wp:posOffset>
            </wp:positionV>
            <wp:extent cx="75565" cy="711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5565" cy="71120"/>
                    </a:xfrm>
                    <a:prstGeom prst="rect">
                      <a:avLst/>
                    </a:prstGeom>
                    <a:noFill/>
                  </pic:spPr>
                </pic:pic>
              </a:graphicData>
            </a:graphic>
          </wp:anchor>
        </w:drawing>
      </w:r>
    </w:p>
    <w:p>
      <w:pPr>
        <w:ind w:left="860" w:right="260"/>
        <w:spacing w:after="0" w:line="234" w:lineRule="auto"/>
        <w:rPr>
          <w:sz w:val="20"/>
          <w:szCs w:val="20"/>
          <w:color w:val="auto"/>
        </w:rPr>
      </w:pPr>
      <w:r>
        <w:rPr>
          <w:rFonts w:ascii="Arial" w:cs="Arial" w:eastAsia="Arial" w:hAnsi="Arial"/>
          <w:sz w:val="20"/>
          <w:szCs w:val="20"/>
          <w:b w:val="1"/>
          <w:bCs w:val="1"/>
          <w:color w:val="auto"/>
        </w:rPr>
        <w:t>our beliefs regarding the success, cost and timing of our product candidate development and collaboration activities and current and future clinical trials and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-243840</wp:posOffset>
            </wp:positionV>
            <wp:extent cx="75565" cy="711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5565" cy="71120"/>
                    </a:xfrm>
                    <a:prstGeom prst="rect">
                      <a:avLst/>
                    </a:prstGeom>
                    <a:noFill/>
                  </pic:spPr>
                </pic:pic>
              </a:graphicData>
            </a:graphic>
          </wp:anchor>
        </w:drawing>
      </w:r>
    </w:p>
    <w:p>
      <w:pPr>
        <w:spacing w:after="0" w:line="127" w:lineRule="exact"/>
        <w:rPr>
          <w:sz w:val="20"/>
          <w:szCs w:val="20"/>
          <w:color w:val="auto"/>
        </w:rPr>
      </w:pPr>
    </w:p>
    <w:p>
      <w:pPr>
        <w:ind w:left="860" w:right="580"/>
        <w:spacing w:after="0" w:line="234" w:lineRule="auto"/>
        <w:rPr>
          <w:sz w:val="20"/>
          <w:szCs w:val="20"/>
          <w:color w:val="auto"/>
        </w:rPr>
      </w:pPr>
      <w:r>
        <w:rPr>
          <w:rFonts w:ascii="Arial" w:cs="Arial" w:eastAsia="Arial" w:hAnsi="Arial"/>
          <w:sz w:val="20"/>
          <w:szCs w:val="20"/>
          <w:b w:val="1"/>
          <w:bCs w:val="1"/>
          <w:color w:val="auto"/>
        </w:rPr>
        <w:t>our beliefs regarding the potential markets for our product candidates, collaborations and our and our collaborators’ ability to serve those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-243840</wp:posOffset>
            </wp:positionV>
            <wp:extent cx="75565" cy="711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5565" cy="71120"/>
                    </a:xfrm>
                    <a:prstGeom prst="rect">
                      <a:avLst/>
                    </a:prstGeom>
                    <a:noFill/>
                  </pic:spPr>
                </pic:pic>
              </a:graphicData>
            </a:graphic>
          </wp:anchor>
        </w:drawing>
      </w:r>
    </w:p>
    <w:p>
      <w:pPr>
        <w:spacing w:after="0" w:line="116"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our ability to attract and retain key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-98425</wp:posOffset>
            </wp:positionV>
            <wp:extent cx="75565" cy="711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5565" cy="71120"/>
                    </a:xfrm>
                    <a:prstGeom prst="rect">
                      <a:avLst/>
                    </a:prstGeom>
                    <a:noFill/>
                  </pic:spPr>
                </pic:pic>
              </a:graphicData>
            </a:graphic>
          </wp:anchor>
        </w:drawing>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the impact of new tax legislation in the United States (the “U.S.”) and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-98425</wp:posOffset>
            </wp:positionV>
            <wp:extent cx="75565" cy="711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5565" cy="71120"/>
                    </a:xfrm>
                    <a:prstGeom prst="rect">
                      <a:avLst/>
                    </a:prstGeom>
                    <a:noFill/>
                  </pic:spPr>
                </pic:pic>
              </a:graphicData>
            </a:graphic>
          </wp:anchor>
        </w:drawing>
      </w:r>
    </w:p>
    <w:p>
      <w:pPr>
        <w:spacing w:after="0" w:line="123" w:lineRule="exact"/>
        <w:rPr>
          <w:sz w:val="20"/>
          <w:szCs w:val="20"/>
          <w:color w:val="auto"/>
        </w:rPr>
      </w:pPr>
    </w:p>
    <w:p>
      <w:pPr>
        <w:ind w:left="860" w:right="60"/>
        <w:spacing w:after="0" w:line="234" w:lineRule="auto"/>
        <w:rPr>
          <w:sz w:val="20"/>
          <w:szCs w:val="20"/>
          <w:color w:val="auto"/>
        </w:rPr>
      </w:pPr>
      <w:r>
        <w:rPr>
          <w:rFonts w:ascii="Arial" w:cs="Arial" w:eastAsia="Arial" w:hAnsi="Arial"/>
          <w:sz w:val="20"/>
          <w:szCs w:val="20"/>
          <w:b w:val="1"/>
          <w:bCs w:val="1"/>
          <w:color w:val="auto"/>
        </w:rPr>
        <w:t>our ability to obtain funding for our operations, including funding necessary to complete further development and any commercialization of our product candidates;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-243840</wp:posOffset>
            </wp:positionV>
            <wp:extent cx="75565" cy="711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5565" cy="71120"/>
                    </a:xfrm>
                    <a:prstGeom prst="rect">
                      <a:avLst/>
                    </a:prstGeom>
                    <a:noFill/>
                  </pic:spPr>
                </pic:pic>
              </a:graphicData>
            </a:graphic>
          </wp:anchor>
        </w:drawing>
      </w:r>
    </w:p>
    <w:p>
      <w:pPr>
        <w:spacing w:after="0" w:line="116"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regulatory developments in the U.S. and foreign countries, with respect to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-98425</wp:posOffset>
            </wp:positionV>
            <wp:extent cx="75565" cy="711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5565" cy="71120"/>
                    </a:xfrm>
                    <a:prstGeom prst="rect">
                      <a:avLst/>
                    </a:prstGeom>
                    <a:noFill/>
                  </pic:spPr>
                </pic:pic>
              </a:graphicData>
            </a:graphic>
          </wp:anchor>
        </w:drawing>
      </w:r>
    </w:p>
    <w:p>
      <w:pPr>
        <w:spacing w:after="0" w:line="231" w:lineRule="exact"/>
        <w:rPr>
          <w:sz w:val="20"/>
          <w:szCs w:val="20"/>
          <w:color w:val="auto"/>
        </w:rPr>
      </w:pPr>
    </w:p>
    <w:p>
      <w:pPr>
        <w:ind w:right="100" w:firstLine="492"/>
        <w:spacing w:after="0" w:line="253" w:lineRule="auto"/>
        <w:rPr>
          <w:sz w:val="20"/>
          <w:szCs w:val="20"/>
          <w:color w:val="auto"/>
        </w:rPr>
      </w:pPr>
      <w:r>
        <w:rPr>
          <w:rFonts w:ascii="Arial" w:cs="Arial" w:eastAsia="Arial" w:hAnsi="Arial"/>
          <w:sz w:val="19"/>
          <w:szCs w:val="19"/>
          <w:b w:val="1"/>
          <w:bCs w:val="1"/>
          <w:color w:val="auto"/>
        </w:rPr>
        <w:t>These statements involve known and unknown risks, uncertainties and other important factors that may cause our actual results, performance and achievements to be materially different from any future results, performance or achievements expressed or implied by the forward-looking statements.</w:t>
      </w:r>
    </w:p>
    <w:p>
      <w:pPr>
        <w:spacing w:after="0" w:line="238" w:lineRule="exact"/>
        <w:rPr>
          <w:sz w:val="20"/>
          <w:szCs w:val="20"/>
          <w:color w:val="auto"/>
        </w:rPr>
      </w:pPr>
    </w:p>
    <w:p>
      <w:pPr>
        <w:ind w:firstLine="492"/>
        <w:spacing w:after="0" w:line="284" w:lineRule="auto"/>
        <w:rPr>
          <w:sz w:val="20"/>
          <w:szCs w:val="20"/>
          <w:color w:val="auto"/>
        </w:rPr>
      </w:pPr>
      <w:r>
        <w:rPr>
          <w:rFonts w:ascii="Arial" w:cs="Arial" w:eastAsia="Arial" w:hAnsi="Arial"/>
          <w:sz w:val="17"/>
          <w:szCs w:val="17"/>
          <w:b w:val="1"/>
          <w:bCs w:val="1"/>
          <w:color w:val="auto"/>
        </w:rPr>
        <w:t>In some cases, you can identify forward-looking statements by terminology such as “anticipates,” “believes,” “continue,” “could,” “estimates,” “expects,” “intends,” “may,” “plans,” “potential,” “predicts,” “should,” “will,” or the negative of these terms or other comparable terminology. These forward-looking statements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risks, uncertainties and assumptions, including those described in Part I, Item 1A, "Risk Factors".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23" w:lineRule="exact"/>
        <w:rPr>
          <w:sz w:val="20"/>
          <w:szCs w:val="20"/>
          <w:color w:val="auto"/>
        </w:rPr>
      </w:pPr>
    </w:p>
    <w:p>
      <w:pPr>
        <w:ind w:right="40" w:firstLine="492"/>
        <w:spacing w:after="0" w:line="269" w:lineRule="auto"/>
        <w:rPr>
          <w:sz w:val="20"/>
          <w:szCs w:val="20"/>
          <w:color w:val="auto"/>
        </w:rPr>
      </w:pPr>
      <w:r>
        <w:rPr>
          <w:rFonts w:ascii="Arial" w:cs="Arial" w:eastAsia="Arial" w:hAnsi="Arial"/>
          <w:sz w:val="18"/>
          <w:szCs w:val="18"/>
          <w:b w:val="1"/>
          <w:bCs w:val="1"/>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28" w:lineRule="exact"/>
        <w:rPr>
          <w:sz w:val="20"/>
          <w:szCs w:val="20"/>
          <w:color w:val="auto"/>
        </w:rPr>
      </w:pPr>
    </w:p>
    <w:p>
      <w:pPr>
        <w:ind w:right="100" w:firstLine="492"/>
        <w:spacing w:after="0" w:line="253" w:lineRule="auto"/>
        <w:rPr>
          <w:sz w:val="20"/>
          <w:szCs w:val="20"/>
          <w:color w:val="auto"/>
        </w:rPr>
      </w:pPr>
      <w:r>
        <w:rPr>
          <w:rFonts w:ascii="Arial" w:cs="Arial" w:eastAsia="Arial" w:hAnsi="Arial"/>
          <w:sz w:val="18"/>
          <w:szCs w:val="18"/>
          <w:b w:val="1"/>
          <w:bCs w:val="1"/>
          <w:color w:val="auto"/>
        </w:rPr>
        <w:t xml:space="preserve">We have common law trademark rights in the unregistered marks “Bolt Biotherapeutics, Inc.,” “Boltbody,” and the Bolt Biotherapeutics logo in certain jurisdictions. Solely for convenience, trademarks and tradenames referred to in this Annual Report appear without the </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and </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ectPr>
          <w:pgSz w:w="12240" w:h="15840" w:orient="portrait"/>
          <w:cols w:equalWidth="0" w:num="1">
            <w:col w:w="9700"/>
          </w:cols>
          <w:pgMar w:left="1260" w:top="107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w:t>
      </w:r>
    </w:p>
    <w:p>
      <w:pPr>
        <w:sectPr>
          <w:pgSz w:w="12240" w:h="15840" w:orient="portrait"/>
          <w:cols w:equalWidth="0" w:num="1">
            <w:col w:w="9700"/>
          </w:cols>
          <w:pgMar w:left="1260" w:top="1079" w:right="1280" w:bottom="181"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20"/>
          <w:szCs w:val="20"/>
          <w:b w:val="1"/>
          <w:bCs w:val="1"/>
          <w:color w:val="auto"/>
        </w:rPr>
        <w:t>RISK FACTOR SUMMARY</w:t>
      </w:r>
    </w:p>
    <w:p>
      <w:pPr>
        <w:spacing w:after="0" w:line="131" w:lineRule="exact"/>
        <w:rPr>
          <w:sz w:val="20"/>
          <w:szCs w:val="20"/>
          <w:color w:val="auto"/>
        </w:rPr>
      </w:pPr>
    </w:p>
    <w:p>
      <w:pPr>
        <w:ind w:right="20"/>
        <w:spacing w:after="0" w:line="337" w:lineRule="auto"/>
        <w:rPr>
          <w:sz w:val="20"/>
          <w:szCs w:val="20"/>
          <w:color w:val="auto"/>
        </w:rPr>
      </w:pPr>
      <w:r>
        <w:rPr>
          <w:rFonts w:ascii="Arial" w:cs="Arial" w:eastAsia="Arial" w:hAnsi="Arial"/>
          <w:sz w:val="15"/>
          <w:szCs w:val="15"/>
          <w:b w:val="1"/>
          <w:bCs w:val="1"/>
          <w:color w:val="auto"/>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“Special Note Regarding Forward-Looking Statements” and Part I, Item 1A, “Risk Factors” in this Annual Report.</w:t>
      </w:r>
    </w:p>
    <w:p>
      <w:pPr>
        <w:spacing w:after="0" w:line="2" w:lineRule="exact"/>
        <w:rPr>
          <w:sz w:val="20"/>
          <w:szCs w:val="20"/>
          <w:color w:val="auto"/>
        </w:rPr>
      </w:pPr>
    </w:p>
    <w:p>
      <w:pPr>
        <w:ind w:left="860" w:right="320"/>
        <w:spacing w:after="0" w:line="236" w:lineRule="auto"/>
        <w:rPr>
          <w:sz w:val="20"/>
          <w:szCs w:val="20"/>
          <w:color w:val="auto"/>
        </w:rPr>
      </w:pPr>
      <w:r>
        <w:rPr>
          <w:rFonts w:ascii="Arial" w:cs="Arial" w:eastAsia="Arial" w:hAnsi="Arial"/>
          <w:sz w:val="20"/>
          <w:szCs w:val="20"/>
          <w:b w:val="1"/>
          <w:bCs w:val="1"/>
          <w:color w:val="auto"/>
        </w:rPr>
        <w:t>We have a limited operating history and have incurred significant losses since inception, and we anticipate that we may continue to incur losses for the foreseeable future and may never achieve or maintain profitability.</w:t>
      </w:r>
    </w:p>
    <w:p>
      <w:pPr>
        <w:spacing w:after="0" w:line="84" w:lineRule="exact"/>
        <w:rPr>
          <w:sz w:val="20"/>
          <w:szCs w:val="20"/>
          <w:color w:val="auto"/>
        </w:rPr>
      </w:pPr>
    </w:p>
    <w:p>
      <w:pPr>
        <w:ind w:left="860"/>
        <w:spacing w:after="0" w:line="236" w:lineRule="auto"/>
        <w:rPr>
          <w:sz w:val="20"/>
          <w:szCs w:val="20"/>
          <w:color w:val="auto"/>
        </w:rPr>
      </w:pPr>
      <w:r>
        <w:rPr>
          <w:rFonts w:ascii="Arial" w:cs="Arial" w:eastAsia="Arial" w:hAnsi="Arial"/>
          <w:sz w:val="20"/>
          <w:szCs w:val="20"/>
          <w:b w:val="1"/>
          <w:bCs w:val="1"/>
          <w:color w:val="auto"/>
        </w:rPr>
        <w:t>We will need substantial funding to pursue our business objectives. If we are unable to raise capital when needed or on terms favorable to us, we could be forced to delay, reduce or terminate our product development, other operations or commercialization efforts.</w:t>
      </w:r>
    </w:p>
    <w:p>
      <w:pPr>
        <w:spacing w:after="0" w:line="87" w:lineRule="exact"/>
        <w:rPr>
          <w:sz w:val="20"/>
          <w:szCs w:val="20"/>
          <w:color w:val="auto"/>
        </w:rPr>
      </w:pPr>
    </w:p>
    <w:p>
      <w:pPr>
        <w:ind w:left="860" w:right="540"/>
        <w:spacing w:after="0" w:line="234" w:lineRule="auto"/>
        <w:rPr>
          <w:sz w:val="20"/>
          <w:szCs w:val="20"/>
          <w:color w:val="auto"/>
        </w:rPr>
      </w:pPr>
      <w:r>
        <w:rPr>
          <w:rFonts w:ascii="Arial" w:cs="Arial" w:eastAsia="Arial" w:hAnsi="Arial"/>
          <w:sz w:val="20"/>
          <w:szCs w:val="20"/>
          <w:b w:val="1"/>
          <w:bCs w:val="1"/>
          <w:color w:val="auto"/>
        </w:rPr>
        <w:t>Raising additional capital may cause dilution to our stockholders, restrict our operations or require us to relinquish proprietary rights.</w:t>
      </w:r>
    </w:p>
    <w:p>
      <w:pPr>
        <w:spacing w:after="0" w:line="86" w:lineRule="exact"/>
        <w:rPr>
          <w:sz w:val="20"/>
          <w:szCs w:val="20"/>
          <w:color w:val="auto"/>
        </w:rPr>
      </w:pPr>
    </w:p>
    <w:p>
      <w:pPr>
        <w:ind w:left="860" w:right="320"/>
        <w:spacing w:after="0" w:line="351" w:lineRule="auto"/>
        <w:rPr>
          <w:sz w:val="20"/>
          <w:szCs w:val="20"/>
          <w:color w:val="auto"/>
        </w:rPr>
      </w:pPr>
      <w:r>
        <w:rPr>
          <w:rFonts w:ascii="Arial" w:cs="Arial" w:eastAsia="Arial" w:hAnsi="Arial"/>
          <w:sz w:val="15"/>
          <w:szCs w:val="15"/>
          <w:b w:val="1"/>
          <w:bCs w:val="1"/>
          <w:color w:val="auto"/>
        </w:rPr>
        <w:t>If none of our product candidates, including those in our collaborations, obtain regulatory approval and are successfully commercialized in one or more indications, or we or our collaboration partners experience significant delays in doing so, we may never generate any product revenue or become profitable.</w:t>
      </w:r>
    </w:p>
    <w:p>
      <w:pPr>
        <w:spacing w:after="0" w:line="6" w:lineRule="exact"/>
        <w:rPr>
          <w:sz w:val="20"/>
          <w:szCs w:val="20"/>
          <w:color w:val="auto"/>
        </w:rPr>
      </w:pPr>
    </w:p>
    <w:p>
      <w:pPr>
        <w:ind w:left="860" w:right="140"/>
        <w:spacing w:after="0" w:line="252" w:lineRule="auto"/>
        <w:rPr>
          <w:sz w:val="20"/>
          <w:szCs w:val="20"/>
          <w:color w:val="auto"/>
        </w:rPr>
      </w:pPr>
      <w:r>
        <w:rPr>
          <w:rFonts w:ascii="Arial" w:cs="Arial" w:eastAsia="Arial" w:hAnsi="Arial"/>
          <w:sz w:val="19"/>
          <w:szCs w:val="19"/>
          <w:b w:val="1"/>
          <w:bCs w:val="1"/>
          <w:color w:val="auto"/>
        </w:rPr>
        <w:t>Our discovery and development of product candidates based on our Boltbody™ ISAC (immune-stimulating antibody conjugate) approach are unproven, which makes it difficult to predict the time and cost of product candidate development, and we do not know whether we will be able to develop any products of commercial value, or if competing technological approaches will limit the commercial value of our product candidates or render our platform obsolete.</w:t>
      </w:r>
    </w:p>
    <w:p>
      <w:pPr>
        <w:spacing w:after="0" w:line="76" w:lineRule="exact"/>
        <w:rPr>
          <w:sz w:val="20"/>
          <w:szCs w:val="20"/>
          <w:color w:val="auto"/>
        </w:rPr>
      </w:pPr>
    </w:p>
    <w:p>
      <w:pPr>
        <w:ind w:left="860" w:right="200"/>
        <w:spacing w:after="0" w:line="236" w:lineRule="auto"/>
        <w:rPr>
          <w:sz w:val="20"/>
          <w:szCs w:val="20"/>
          <w:color w:val="auto"/>
        </w:rPr>
      </w:pPr>
      <w:r>
        <w:rPr>
          <w:rFonts w:ascii="Arial" w:cs="Arial" w:eastAsia="Arial" w:hAnsi="Arial"/>
          <w:sz w:val="20"/>
          <w:szCs w:val="20"/>
          <w:b w:val="1"/>
          <w:bCs w:val="1"/>
          <w:color w:val="auto"/>
        </w:rPr>
        <w:t>We have never commercialized a product candidate and we may lack the necessary expertise, personnel and resources to successfully commercialize on our own or together with collaborators, any of our products that receive regulatory approval.</w:t>
      </w:r>
    </w:p>
    <w:p>
      <w:pPr>
        <w:spacing w:after="0" w:line="87" w:lineRule="exact"/>
        <w:rPr>
          <w:sz w:val="20"/>
          <w:szCs w:val="20"/>
          <w:color w:val="auto"/>
        </w:rPr>
      </w:pPr>
    </w:p>
    <w:p>
      <w:pPr>
        <w:ind w:left="860" w:right="880"/>
        <w:spacing w:after="0" w:line="312" w:lineRule="auto"/>
        <w:rPr>
          <w:sz w:val="20"/>
          <w:szCs w:val="20"/>
          <w:color w:val="auto"/>
        </w:rPr>
      </w:pPr>
      <w:r>
        <w:rPr>
          <w:rFonts w:ascii="Arial" w:cs="Arial" w:eastAsia="Arial" w:hAnsi="Arial"/>
          <w:sz w:val="17"/>
          <w:szCs w:val="17"/>
          <w:b w:val="1"/>
          <w:bCs w:val="1"/>
          <w:color w:val="auto"/>
        </w:rPr>
        <w:t>We do not have our own manufacturing capabilities and rely on third parties to produce clinical and commercial supplies of BDC-4182 and our other current and future product candidates.</w:t>
      </w:r>
    </w:p>
    <w:p>
      <w:pPr>
        <w:spacing w:after="0" w:line="24" w:lineRule="exact"/>
        <w:rPr>
          <w:sz w:val="20"/>
          <w:szCs w:val="20"/>
          <w:color w:val="auto"/>
        </w:rPr>
      </w:pPr>
    </w:p>
    <w:p>
      <w:pPr>
        <w:ind w:left="860" w:right="140"/>
        <w:spacing w:after="0" w:line="372" w:lineRule="auto"/>
        <w:rPr>
          <w:sz w:val="20"/>
          <w:szCs w:val="20"/>
          <w:color w:val="auto"/>
        </w:rPr>
      </w:pPr>
      <w:r>
        <w:rPr>
          <w:rFonts w:ascii="Arial" w:cs="Arial" w:eastAsia="Arial" w:hAnsi="Arial"/>
          <w:sz w:val="15"/>
          <w:szCs w:val="15"/>
          <w:b w:val="1"/>
          <w:bCs w:val="1"/>
          <w:color w:val="auto"/>
        </w:rPr>
        <w:t>Enacted and future legislation may increase the difficulty and cost for us to obtain marketing approval of and commercialize our product candidates and affect the prices we may charge for such product candidates.</w:t>
      </w:r>
    </w:p>
    <w:p>
      <w:pPr>
        <w:ind w:left="860" w:right="140"/>
        <w:spacing w:after="0" w:line="274" w:lineRule="auto"/>
        <w:rPr>
          <w:sz w:val="20"/>
          <w:szCs w:val="20"/>
          <w:color w:val="auto"/>
        </w:rPr>
      </w:pPr>
      <w:r>
        <w:rPr>
          <w:rFonts w:ascii="Arial" w:cs="Arial" w:eastAsia="Arial" w:hAnsi="Arial"/>
          <w:sz w:val="18"/>
          <w:szCs w:val="18"/>
          <w:b w:val="1"/>
          <w:bCs w:val="1"/>
          <w:color w:val="auto"/>
        </w:rPr>
        <w:t>If we are unable to obtain, maintain and protect sufficient patent and other intellectual property rights for our product candidates and technology, or if the scope of patent and other intellectual property rights obtained is not sufficiently broad, we may not be able to compete effectively in our market.</w:t>
      </w:r>
    </w:p>
    <w:p>
      <w:pPr>
        <w:spacing w:after="0" w:line="56" w:lineRule="exact"/>
        <w:rPr>
          <w:sz w:val="20"/>
          <w:szCs w:val="20"/>
          <w:color w:val="auto"/>
        </w:rPr>
      </w:pPr>
    </w:p>
    <w:p>
      <w:pPr>
        <w:ind w:left="860" w:right="200"/>
        <w:spacing w:after="0" w:line="269" w:lineRule="auto"/>
        <w:rPr>
          <w:sz w:val="20"/>
          <w:szCs w:val="20"/>
          <w:color w:val="auto"/>
        </w:rPr>
      </w:pPr>
      <w:r>
        <w:rPr>
          <w:rFonts w:ascii="Arial" w:cs="Arial" w:eastAsia="Arial" w:hAnsi="Arial"/>
          <w:sz w:val="18"/>
          <w:szCs w:val="18"/>
          <w:b w:val="1"/>
          <w:bCs w:val="1"/>
          <w:color w:val="auto"/>
        </w:rPr>
        <w:t>Our business, operations and clinical development plans and timelines and supply chain could be adversely affected by macroeconomic uncertainties, including pandemics, labor shortages, inflation and monetary supply shifts, and potential disruptions from major geopolitical conflicts, on the manufacturing, clinical trial and other business activities performed by us or by third parties with whom we conduct business, including our contract development and manufacturing organizations, or CDMOs, contract research organizations, or CROs, shippers and others.</w:t>
      </w:r>
    </w:p>
    <w:p>
      <w:pPr>
        <w:spacing w:after="0" w:line="62" w:lineRule="exact"/>
        <w:rPr>
          <w:sz w:val="20"/>
          <w:szCs w:val="20"/>
          <w:color w:val="auto"/>
        </w:rPr>
      </w:pPr>
    </w:p>
    <w:p>
      <w:pPr>
        <w:ind w:left="860" w:right="340"/>
        <w:spacing w:after="0" w:line="233" w:lineRule="auto"/>
        <w:rPr>
          <w:sz w:val="20"/>
          <w:szCs w:val="20"/>
          <w:color w:val="auto"/>
        </w:rPr>
      </w:pPr>
      <w:r>
        <w:rPr>
          <w:rFonts w:ascii="Arial" w:cs="Arial" w:eastAsia="Arial" w:hAnsi="Arial"/>
          <w:sz w:val="20"/>
          <w:szCs w:val="20"/>
          <w:b w:val="1"/>
          <w:bCs w:val="1"/>
          <w:color w:val="auto"/>
        </w:rPr>
        <w:t>The trading price of the shares of our common stock may be volatile, and purchasers of our common stock could incur substantial losses.</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We might not be able to utilize a significant portion of our net operating loss carryforwards.</w:t>
      </w:r>
    </w:p>
    <w:p>
      <w:pPr>
        <w:sectPr>
          <w:pgSz w:w="12240" w:h="15840" w:orient="portrait"/>
          <w:cols w:equalWidth="0" w:num="1">
            <w:col w:w="9720"/>
          </w:cols>
          <w:pgMar w:left="1260" w:top="1079" w:right="126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2</w:t>
      </w:r>
    </w:p>
    <w:p>
      <w:pPr>
        <w:sectPr>
          <w:pgSz w:w="12240" w:h="15840" w:orient="portrait"/>
          <w:cols w:equalWidth="0" w:num="1">
            <w:col w:w="9720"/>
          </w:cols>
          <w:pgMar w:left="1260" w:top="1079" w:right="1260" w:bottom="181"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20"/>
          <w:szCs w:val="20"/>
          <w:b w:val="1"/>
          <w:bCs w:val="1"/>
          <w:color w:val="auto"/>
        </w:rPr>
        <w:t>PART I</w:t>
      </w:r>
    </w:p>
    <w:p>
      <w:pPr>
        <w:spacing w:after="0"/>
        <w:rPr>
          <w:sz w:val="20"/>
          <w:szCs w:val="20"/>
          <w:color w:val="auto"/>
        </w:rPr>
      </w:pPr>
      <w:r>
        <w:rPr>
          <w:rFonts w:ascii="Arial" w:cs="Arial" w:eastAsia="Arial" w:hAnsi="Arial"/>
          <w:sz w:val="20"/>
          <w:szCs w:val="20"/>
          <w:b w:val="1"/>
          <w:bCs w:val="1"/>
          <w:color w:val="auto"/>
        </w:rPr>
        <w:t>Item 1. Business.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31" w:lineRule="exact"/>
        <w:rPr>
          <w:sz w:val="20"/>
          <w:szCs w:val="20"/>
          <w:color w:val="auto"/>
        </w:rPr>
      </w:pPr>
    </w:p>
    <w:p>
      <w:pPr>
        <w:ind w:right="60"/>
        <w:spacing w:after="0" w:line="327" w:lineRule="auto"/>
        <w:rPr>
          <w:sz w:val="20"/>
          <w:szCs w:val="20"/>
          <w:color w:val="auto"/>
        </w:rPr>
      </w:pPr>
      <w:r>
        <w:rPr>
          <w:rFonts w:ascii="Arial" w:cs="Arial" w:eastAsia="Arial" w:hAnsi="Arial"/>
          <w:sz w:val="15"/>
          <w:szCs w:val="15"/>
          <w:b w:val="1"/>
          <w:bCs w:val="1"/>
          <w:color w:val="auto"/>
        </w:rPr>
        <w:t>Our mission is to harness the power of the immune system to improve lives and eradicate cancer. This often means that our product candidates take new and unproven approaches to treating cancer. We believe that taking smart risks is critical to making breakthroughs. Our pipeline candidates are built on our deep expertise in myeloid biology and cancer drug development. Our various approaches use pattern recognition receptors expressed by the innate immune system to help the body eliminate tumor cells as part of a productive anti-cancer response. Our proprietary Boltbody™ Immune-Stimulating Antibody Conjugate, or ISAC, platform technology combines tumor-targeting antibodies with immune-stimulating linker-payloads. We believe this approach has the potential to create products that work with a patient’s own immune system, resulting in anti-cancer activity with acceptable tolerability. Having explored more than one thousand distinct linker-payloads and multiple tumor targets, we know the importance of both the linker-payload and the antibody and have developed a library of linker-payloads for use in our own development programs and in our collaborations.</w:t>
      </w:r>
    </w:p>
    <w:p>
      <w:pPr>
        <w:spacing w:after="0" w:line="72"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color w:val="auto"/>
        </w:rPr>
        <w:t>BDC-4182 is a next-generation Boltbody™ ISAC that targets the tumor-associated antigen claudin 18.2. Claudin 18.2 is a clinically validated target in oncology with zolbetuximab, a claudin 18.2-targeted monoclonal antibody, approved in Japan, the U.S., and other countries for the treatment of patients with claudin 18.2-positive, unresectable, advanced or recurrent gastric cancer in combination with chemotherapy. Other programs targeting claudin 18.2 are in development for the treatment of gastric/gastroesophageal junction cancer, pancreatic cancer, and other tumor types. BDC-4182 is supported by in vitro and in vivo experiments demonstrating potent anti-tumor activity in multiple preclinical models, safety and tolerability in toxicology studies, and enhanced anti-tumor activity compared to cytotoxic antibody-drug conjugates, or ADCs, in murine tumor models. Data on our claudin 18.2 Boltbody ISAC program was presented at the Society for Immunotherapy of Cancer’s (SITC) Annual Meetings in November 2025, 2024 and 2023. The first-in-human Phase 1 dose escalation trial of BDC-4182 is ongoing in subjects with gastric/gastroesophageal junction cancer.</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Pipeline</w:t>
      </w:r>
    </w:p>
    <w:p>
      <w:pPr>
        <w:spacing w:after="0" w:line="131" w:lineRule="exact"/>
        <w:rPr>
          <w:sz w:val="20"/>
          <w:szCs w:val="20"/>
          <w:color w:val="auto"/>
        </w:rPr>
      </w:pPr>
    </w:p>
    <w:p>
      <w:pPr>
        <w:ind w:right="200"/>
        <w:spacing w:after="0" w:line="238" w:lineRule="auto"/>
        <w:rPr>
          <w:sz w:val="20"/>
          <w:szCs w:val="20"/>
          <w:color w:val="auto"/>
        </w:rPr>
      </w:pPr>
      <w:r>
        <w:rPr>
          <w:rFonts w:ascii="Arial" w:cs="Arial" w:eastAsia="Arial" w:hAnsi="Arial"/>
          <w:sz w:val="20"/>
          <w:szCs w:val="20"/>
          <w:b w:val="1"/>
          <w:bCs w:val="1"/>
          <w:color w:val="auto"/>
        </w:rPr>
        <w:t>We are currently focused on the clinical development of BDC-4182, our claudin 18.2 ISAC, while the rest of our pipeline programs are on hold. We believe that demonstration of anti-tumor efficacy and acceptable tolerability with BDC-4182 will help validate our Boltbody ISAC platform. With validation, the ISAC approach has the potential to be broadly applicable with similarities to the antibody drug conjugate (ADC) approach. This could kick off a race to develop first-in-class ISACs targeting a range of antigens with Bolt being uniquely positioned as the leader in this new field.</w:t>
      </w:r>
    </w:p>
    <w:p>
      <w:pPr>
        <w:spacing w:after="0" w:line="132" w:lineRule="exact"/>
        <w:rPr>
          <w:sz w:val="20"/>
          <w:szCs w:val="20"/>
          <w:color w:val="auto"/>
        </w:rPr>
      </w:pPr>
    </w:p>
    <w:p>
      <w:pPr>
        <w:ind w:right="260"/>
        <w:spacing w:after="0" w:line="234" w:lineRule="auto"/>
        <w:rPr>
          <w:sz w:val="20"/>
          <w:szCs w:val="20"/>
          <w:color w:val="auto"/>
        </w:rPr>
      </w:pPr>
      <w:r>
        <w:rPr>
          <w:rFonts w:ascii="Arial" w:cs="Arial" w:eastAsia="Arial" w:hAnsi="Arial"/>
          <w:sz w:val="20"/>
          <w:szCs w:val="20"/>
          <w:b w:val="1"/>
          <w:bCs w:val="1"/>
          <w:color w:val="auto"/>
        </w:rPr>
        <w:t>We have three pipeline programs that can be quickly restarted: a CEA ISAC, a PD-L1 ISAC, and our dectin-2 agonist antibody BDC-3042.</w:t>
      </w:r>
    </w:p>
    <w:p>
      <w:pPr>
        <w:spacing w:after="0" w:line="130"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color w:val="auto"/>
        </w:rPr>
        <w:t>Our CEA ISAC program is a Boltbody ISAC targeting carcinoembryonic antigen cell adhesion molecule 5, or CEA. CEA is a well-known tumor-associated antigen expressed in various solid tumors including, colorectal, non-small cell lung, pancreatic, and breast. CEA is upregulated on the cell surface of these cancers. CEA allows us to target these cancers, some of which are immunologically “cold.” In our preclinical studies, we have observed promising in vitro and in vivo activity with notable anti-tumor activity, including complete tumor regression and immunological memory. Data on our CEA Boltbody ISAC program was recently presented at the 2025 Annual Meetings for SITC and the American Association of Cancer Research (AACR).</w:t>
      </w:r>
    </w:p>
    <w:p>
      <w:pPr>
        <w:spacing w:after="0" w:line="106" w:lineRule="exact"/>
        <w:rPr>
          <w:sz w:val="20"/>
          <w:szCs w:val="20"/>
          <w:color w:val="auto"/>
        </w:rPr>
      </w:pPr>
    </w:p>
    <w:p>
      <w:pPr>
        <w:spacing w:after="0" w:line="328" w:lineRule="auto"/>
        <w:rPr>
          <w:sz w:val="20"/>
          <w:szCs w:val="20"/>
          <w:color w:val="auto"/>
        </w:rPr>
      </w:pPr>
      <w:r>
        <w:rPr>
          <w:rFonts w:ascii="Arial" w:cs="Arial" w:eastAsia="Arial" w:hAnsi="Arial"/>
          <w:sz w:val="15"/>
          <w:szCs w:val="15"/>
          <w:b w:val="1"/>
          <w:bCs w:val="1"/>
          <w:color w:val="auto"/>
        </w:rPr>
        <w:t>Our PD-L1 ISAC utilizes a novel human anti-PD-L1 antibody conjugated to a next-generation TLR7/8 agonist payload via a non-cleavable linker. This ISAC leverages a unique mechanism of action due to its ability to target both tumor and immune cells that express PD-L1. Preclinical studies show that it can directly activate PD-L1-positive antigen-presenting cells resulting in the secretion of pro-inflammatory cytokines and stimulation of powerful T cell responses. In vivo, the PD-L1 ISAC elicits complete tumor regression and immunological memory in multiple syngeneic models. Mechanistic studies have demonstrated that our PD-L1 ISAC can generate complete responses in models where PD-L1 is only expressed on the immune cells, as well as in models where PD-L1 is only expressed on the tumor cells. We believe that this unique mechanism of action has the potential to overcome the limitations of current anti-PD-L1 therapies to expand the addressable target population as a monotherapy or potentially be utilized in combination with PD1 inhibitors.</w:t>
      </w:r>
    </w:p>
    <w:p>
      <w:pPr>
        <w:spacing w:after="0" w:line="180"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b w:val="1"/>
          <w:bCs w:val="1"/>
          <w:color w:val="auto"/>
        </w:rPr>
        <w:t>BDC-3042, our first-in-class dectin-2 agonist antibody program, was developed to repolarize critical cells in the tumor microenvironment known as tumor associated macrophages (TAMs). Dectin-2 agonism changes these TAMs from tumor-supportive macrophages to tumor-destructive macrophages that elicit durable anti-tumor immune responses in preclinical models. In October 2023, we dosed the first patient with BDC-3042 in the Phase 1 dose-escalation study. In April 2025, we reported results from our dose escalation trial of BDC-3042, demonstrating a favorable safety profile,</w:t>
      </w:r>
    </w:p>
    <w:p>
      <w:pPr>
        <w:sectPr>
          <w:pgSz w:w="12240" w:h="15840" w:orient="portrait"/>
          <w:cols w:equalWidth="0" w:num="1">
            <w:col w:w="9700"/>
          </w:cols>
          <w:pgMar w:left="1260" w:top="1079" w:right="1280" w:bottom="181"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w:t>
      </w:r>
    </w:p>
    <w:p>
      <w:pPr>
        <w:sectPr>
          <w:pgSz w:w="12240" w:h="15840" w:orient="portrait"/>
          <w:cols w:equalWidth="0" w:num="1">
            <w:col w:w="9700"/>
          </w:cols>
          <w:pgMar w:left="1260" w:top="1079" w:right="1280" w:bottom="181" w:gutter="0" w:footer="0" w:header="0"/>
          <w:type w:val="continuous"/>
        </w:sectPr>
      </w:pPr>
    </w:p>
    <w:bookmarkStart w:id="43" w:name="page44"/>
    <w:bookmarkEnd w:id="43"/>
    <w:p>
      <w:pPr>
        <w:ind w:right="200"/>
        <w:spacing w:after="0" w:line="234" w:lineRule="auto"/>
        <w:rPr>
          <w:sz w:val="20"/>
          <w:szCs w:val="20"/>
          <w:color w:val="auto"/>
        </w:rPr>
      </w:pPr>
      <w:r>
        <w:rPr>
          <w:rFonts w:ascii="Arial" w:cs="Arial" w:eastAsia="Arial" w:hAnsi="Arial"/>
          <w:sz w:val="20"/>
          <w:szCs w:val="20"/>
          <w:b w:val="1"/>
          <w:bCs w:val="1"/>
          <w:color w:val="auto"/>
        </w:rPr>
        <w:t>dose-dependent biologic activity, and monotherapy anti-tumor activity. BDC-3042 development is currently paused as we seek partnering or additional funding.</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Corporate History and Team</w:t>
      </w:r>
    </w:p>
    <w:p>
      <w:pPr>
        <w:spacing w:after="0" w:line="131" w:lineRule="exact"/>
        <w:rPr>
          <w:sz w:val="20"/>
          <w:szCs w:val="20"/>
          <w:color w:val="auto"/>
        </w:rPr>
      </w:pPr>
    </w:p>
    <w:p>
      <w:pPr>
        <w:jc w:val="both"/>
        <w:ind w:right="280"/>
        <w:spacing w:after="0" w:line="297" w:lineRule="auto"/>
        <w:rPr>
          <w:sz w:val="20"/>
          <w:szCs w:val="20"/>
          <w:color w:val="auto"/>
        </w:rPr>
      </w:pPr>
      <w:r>
        <w:rPr>
          <w:rFonts w:ascii="Arial" w:cs="Arial" w:eastAsia="Arial" w:hAnsi="Arial"/>
          <w:sz w:val="17"/>
          <w:szCs w:val="17"/>
          <w:b w:val="1"/>
          <w:bCs w:val="1"/>
          <w:color w:val="auto"/>
        </w:rPr>
        <w:t>Our company was founded in 2015 to develop and commercialize pioneering work from the Engleman Laboratory at Stanford University. We have assembled a highly qualified management team with experience in biopharmaceuticals, immunology, myeloid biology, and oncology drug development to execute on our mission.</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Strategy</w:t>
      </w:r>
    </w:p>
    <w:p>
      <w:pPr>
        <w:spacing w:after="0" w:line="131" w:lineRule="exact"/>
        <w:rPr>
          <w:sz w:val="20"/>
          <w:szCs w:val="20"/>
          <w:color w:val="auto"/>
        </w:rPr>
      </w:pPr>
    </w:p>
    <w:p>
      <w:pPr>
        <w:ind w:right="160"/>
        <w:spacing w:after="0" w:line="252" w:lineRule="auto"/>
        <w:rPr>
          <w:sz w:val="20"/>
          <w:szCs w:val="20"/>
          <w:color w:val="auto"/>
        </w:rPr>
      </w:pPr>
      <w:r>
        <w:rPr>
          <w:rFonts w:ascii="Arial" w:cs="Arial" w:eastAsia="Arial" w:hAnsi="Arial"/>
          <w:sz w:val="19"/>
          <w:szCs w:val="19"/>
          <w:b w:val="1"/>
          <w:bCs w:val="1"/>
          <w:color w:val="auto"/>
        </w:rPr>
        <w:t>Our goal is to become a leading immuno-oncology company, leveraging our myeloid biology expertise and proprietary Boltbody ISAC approach to discover, develop, and commercialize transformative treatments to address key unmet medical needs in cancer. The key components of our strategy are to:</w:t>
      </w:r>
    </w:p>
    <w:p>
      <w:pPr>
        <w:spacing w:after="0" w:line="112" w:lineRule="exact"/>
        <w:rPr>
          <w:sz w:val="20"/>
          <w:szCs w:val="20"/>
          <w:color w:val="auto"/>
        </w:rPr>
      </w:pPr>
    </w:p>
    <w:p>
      <w:pPr>
        <w:ind w:left="500" w:right="40"/>
        <w:spacing w:after="0" w:line="252" w:lineRule="auto"/>
        <w:rPr>
          <w:sz w:val="20"/>
          <w:szCs w:val="20"/>
          <w:color w:val="auto"/>
        </w:rPr>
      </w:pPr>
      <w:r>
        <w:rPr>
          <w:rFonts w:ascii="Arial" w:cs="Arial" w:eastAsia="Arial" w:hAnsi="Arial"/>
          <w:sz w:val="19"/>
          <w:szCs w:val="19"/>
          <w:b w:val="1"/>
          <w:bCs w:val="1"/>
          <w:color w:val="auto"/>
        </w:rPr>
        <w:t>Develop our first-in-class, claudin 18.2-targeting ISAC BDC-4182 for the treatment of patients with gastric/gastroesophageal cancer. To our knowledge, BDC-4182 is the only claudin 18.2 ISAC in development. Based on our preclinical studies, we believe BDC-4182 has the potential to outperform cytotoxic ADCs. We are conducting a first-in-human dose escalation and expansion study with the goals of selecting a recommended phase 2 dose and demonstrating safety anti-tumor activity.</w:t>
      </w:r>
    </w:p>
    <w:p>
      <w:pPr>
        <w:spacing w:after="0" w:line="136" w:lineRule="exact"/>
        <w:rPr>
          <w:sz w:val="20"/>
          <w:szCs w:val="20"/>
          <w:color w:val="auto"/>
        </w:rPr>
      </w:pPr>
    </w:p>
    <w:p>
      <w:pPr>
        <w:ind w:left="500" w:right="80"/>
        <w:spacing w:after="0" w:line="287" w:lineRule="auto"/>
        <w:rPr>
          <w:sz w:val="20"/>
          <w:szCs w:val="20"/>
          <w:color w:val="auto"/>
        </w:rPr>
      </w:pPr>
      <w:r>
        <w:rPr>
          <w:rFonts w:ascii="Arial" w:cs="Arial" w:eastAsia="Arial" w:hAnsi="Arial"/>
          <w:sz w:val="17"/>
          <w:szCs w:val="17"/>
          <w:b w:val="1"/>
          <w:bCs w:val="1"/>
          <w:color w:val="auto"/>
        </w:rPr>
        <w:t>Leverage our Boltbody ISAC approach and myeloid expertise to develop a pipeline of immune-activating therapies. We have extensively investigated ISACs since our founding and have developed significant preclinical and clinical expertise regarding the biology of ISACs and the importance of the target, antibody and linker-payload. We will harness these learnings and our extensive toolbox of proprietary linker-payloads to optimize the therapeutic profile of our product candidates as part of our research and development efforts to elicit durable anti-tumor responses. We believe that our approach is applicable to a broad spectrum of tumor-associated antigens expressed on cancers, including cancers that are refractory to existing therapies.</w:t>
      </w:r>
    </w:p>
    <w:p>
      <w:pPr>
        <w:spacing w:after="0" w:line="108" w:lineRule="exact"/>
        <w:rPr>
          <w:sz w:val="20"/>
          <w:szCs w:val="20"/>
          <w:color w:val="auto"/>
        </w:rPr>
      </w:pPr>
    </w:p>
    <w:p>
      <w:pPr>
        <w:ind w:left="500"/>
        <w:spacing w:after="0" w:line="287" w:lineRule="auto"/>
        <w:rPr>
          <w:sz w:val="20"/>
          <w:szCs w:val="20"/>
          <w:color w:val="auto"/>
        </w:rPr>
      </w:pPr>
      <w:r>
        <w:rPr>
          <w:rFonts w:ascii="Arial" w:cs="Arial" w:eastAsia="Arial" w:hAnsi="Arial"/>
          <w:sz w:val="17"/>
          <w:szCs w:val="17"/>
          <w:b w:val="1"/>
          <w:bCs w:val="1"/>
          <w:color w:val="auto"/>
        </w:rPr>
        <w:t>Selectively enter into collaborations to expand and enhance our proprietary Boltbody ISAC approach and myeloid expertise and increase the impact of our product candidates. In order to advance treatment options for patients, we may selectively collaborate with other companies with complementary technology or resources that could maximize the value of our product candidates and expand our pipeline. Such collaborations may provide us with novel technologies, targets, agents or approaches that complement our myeloid expertise and innovative Boltbody ISAC approach to improve the lives of patients with cancer. Collaborations can also provide significant funding for our research activities. Our collaborations with Genmab and Toray are examples of this approach.</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Collaboration Agreements</w:t>
      </w:r>
    </w:p>
    <w:p>
      <w:pPr>
        <w:spacing w:after="0" w:line="131" w:lineRule="exact"/>
        <w:rPr>
          <w:sz w:val="20"/>
          <w:szCs w:val="20"/>
          <w:color w:val="auto"/>
        </w:rPr>
      </w:pPr>
    </w:p>
    <w:p>
      <w:pPr>
        <w:ind w:right="80"/>
        <w:spacing w:after="0" w:line="336" w:lineRule="auto"/>
        <w:rPr>
          <w:sz w:val="20"/>
          <w:szCs w:val="20"/>
          <w:color w:val="auto"/>
        </w:rPr>
      </w:pPr>
      <w:r>
        <w:rPr>
          <w:rFonts w:ascii="Arial" w:cs="Arial" w:eastAsia="Arial" w:hAnsi="Arial"/>
          <w:sz w:val="15"/>
          <w:szCs w:val="15"/>
          <w:b w:val="1"/>
          <w:bCs w:val="1"/>
          <w:color w:val="auto"/>
        </w:rPr>
        <w:t>In March 2019, we entered into a Joint Development and License Agreement with Toray Industries to develop and commercialize a Boltbody ISAC incorporating a proprietary Toray antibody targeting Caprin-1. Under the agreement, the parties granted each other co-exclusive licenses to certain patents and know-how covering their respective technologies and are responsible for development and regulatory activities pursuant to an agreed development plan. The collaboration includes cost-sharing and reimbursement arrangements customary for joint development collaborations.</w:t>
      </w:r>
    </w:p>
    <w:p>
      <w:pPr>
        <w:spacing w:after="0" w:line="62"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In May 2021, we entered into a License and Collaboration Agreement with Genmab A/S to evaluate Genmab antibodies in combination with our immune-stimulating linker-payload technology for the discovery and development of next-generation ISACs. Under the collaboration, Genmab funds research and early development activities, and the parties have rights to exclusively develop or co-develop and exclusively commercialize resulting candidates. The collaboration provides for upfront consideration, research funding, potential milestone payments, and tiered royalties.</w:t>
      </w:r>
    </w:p>
    <w:p>
      <w:pPr>
        <w:spacing w:after="0" w:line="93"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In August 2021, we entered into a License and Collaboration Agreement with Innovent Biologics to leverage Innovent’s proprietary therapeutic antibody portfolio and antibody discovery capability against undisclosed oncology targets in combination with our Boltbody ISAC technology and myeloid biology expertise. In March 2024, we secured exclusive worldwide rights to BDC-4182 following the restructuring of the Innovent collaboration. Innovent and its affiliates are eligible to receive commercial and sales milestone payments as well as royalties on global net sales.</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License Agreements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License Agreement with Stanford University</w:t>
      </w:r>
    </w:p>
    <w:p>
      <w:pPr>
        <w:spacing w:after="0" w:line="131" w:lineRule="exact"/>
        <w:rPr>
          <w:sz w:val="20"/>
          <w:szCs w:val="20"/>
          <w:color w:val="auto"/>
        </w:rPr>
      </w:pPr>
    </w:p>
    <w:p>
      <w:pPr>
        <w:ind w:right="80"/>
        <w:spacing w:after="0" w:line="341" w:lineRule="auto"/>
        <w:rPr>
          <w:sz w:val="20"/>
          <w:szCs w:val="20"/>
          <w:color w:val="auto"/>
        </w:rPr>
      </w:pPr>
      <w:r>
        <w:rPr>
          <w:rFonts w:ascii="Arial" w:cs="Arial" w:eastAsia="Arial" w:hAnsi="Arial"/>
          <w:sz w:val="15"/>
          <w:szCs w:val="15"/>
          <w:b w:val="1"/>
          <w:bCs w:val="1"/>
          <w:color w:val="auto"/>
        </w:rPr>
        <w:t>In May 2015, we entered into a license agreement, or the Stanford Agreement, as amended, with The Board of Trustees of the Leland Stanford Junior University, or Stanford. The Stanford Agreement provides us an exclusive license to certain patents related to our proprietary Boltbody ISAC technology, to develop, manufacture, and commercialize licensed products incorporating such technology. Stanford retained the right under the Stanford Agreement, on behalf of</w:t>
      </w:r>
    </w:p>
    <w:p>
      <w:pPr>
        <w:sectPr>
          <w:pgSz w:w="12240" w:h="15840" w:orient="portrait"/>
          <w:cols w:equalWidth="0" w:num="1">
            <w:col w:w="9700"/>
          </w:cols>
          <w:pgMar w:left="1260" w:top="1089" w:right="1280" w:bottom="181"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w:t>
      </w:r>
    </w:p>
    <w:p>
      <w:pPr>
        <w:sectPr>
          <w:pgSz w:w="12240" w:h="15840" w:orient="portrait"/>
          <w:cols w:equalWidth="0" w:num="1">
            <w:col w:w="9700"/>
          </w:cols>
          <w:pgMar w:left="1260" w:top="1089" w:right="1280" w:bottom="181" w:gutter="0" w:footer="0" w:header="0"/>
          <w:type w:val="continuous"/>
        </w:sectPr>
      </w:pPr>
    </w:p>
    <w:bookmarkStart w:id="44" w:name="page45"/>
    <w:bookmarkEnd w:id="44"/>
    <w:p>
      <w:pPr>
        <w:ind w:right="360"/>
        <w:spacing w:after="0" w:line="236" w:lineRule="auto"/>
        <w:rPr>
          <w:sz w:val="20"/>
          <w:szCs w:val="20"/>
          <w:color w:val="auto"/>
        </w:rPr>
      </w:pPr>
      <w:r>
        <w:rPr>
          <w:rFonts w:ascii="Arial" w:cs="Arial" w:eastAsia="Arial" w:hAnsi="Arial"/>
          <w:sz w:val="20"/>
          <w:szCs w:val="20"/>
          <w:b w:val="1"/>
          <w:bCs w:val="1"/>
          <w:color w:val="auto"/>
        </w:rPr>
        <w:t>itself and certain of its affiliates, and all other non-profit research institutions, to practice the licensed patents for any non-profit purpose, including sponsored research and collaborations, but excluding delivery of paid or reimbursed healthcare. However, Stanford retained the right to practice the licensed patents for the delivery of its own paid or reimbursed healthcare.</w:t>
      </w:r>
    </w:p>
    <w:p>
      <w:pPr>
        <w:spacing w:after="0" w:line="135"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b w:val="1"/>
          <w:bCs w:val="1"/>
          <w:color w:val="auto"/>
        </w:rPr>
        <w:t>The technology claimed by some of the patents licensed under the Stanford Agreement was developed using U.S. government funding and the license is therefore subject to a nonexclusive license held by the U.S. government, certain requirements that licensed products be manufactured in the United States (unless waived according to U.S. government process) and U.S. government march-in rights. For more information on risks related to technology developed using government funding see “Risk Factors–Risks Related to Our Intellectual Property.”</w:t>
      </w:r>
    </w:p>
    <w:p>
      <w:pPr>
        <w:spacing w:after="0" w:line="93"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Under the Stanford Agreement, we are obligated to use commercially reasonable efforts to develop and commercialize licensed products and we are also required to achieve certain development and/or regulatory milestones by certain dates, which can be extended a limited number of times upon the payment of a nominal fee. The Stanford Agreement continues until terminated. We may terminate the Stanford Agreement at any time for any reason by providing at least 30 days’ written notice to Stanford. Stanford may terminate the Stanford Agreement if we breach certain provisions of such Stanford Agreement, including the payment and development and/or regulatory milestone obligations, and fail to remedy such breach within 60 days after written notice of such breach by Stanford.</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w:t>
      </w:r>
    </w:p>
    <w:p>
      <w:pPr>
        <w:spacing w:after="0" w:line="131"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b w:val="1"/>
          <w:bCs w:val="1"/>
          <w:color w:val="auto"/>
        </w:rPr>
        <w:t>We do not own or operate any manufacturing facilities. We rely on third-party contract development and manufacturing organizations, or CDMOs, for production and testing of our clinical material, including the linker-payloads and antibodies used to make our Boltbody ISACs, and we expect to continue to do so to meet our toxicology, clinical, and commercial activities. We believe there are multiple sources for all of the materials required for the manufacture of our product candidates.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131" w:lineRule="exact"/>
        <w:rPr>
          <w:sz w:val="20"/>
          <w:szCs w:val="20"/>
          <w:color w:val="auto"/>
        </w:rPr>
      </w:pPr>
    </w:p>
    <w:p>
      <w:pPr>
        <w:ind w:right="160"/>
        <w:spacing w:after="0" w:line="252" w:lineRule="auto"/>
        <w:rPr>
          <w:sz w:val="20"/>
          <w:szCs w:val="20"/>
          <w:color w:val="auto"/>
        </w:rPr>
      </w:pPr>
      <w:r>
        <w:rPr>
          <w:rFonts w:ascii="Arial" w:cs="Arial" w:eastAsia="Arial" w:hAnsi="Arial"/>
          <w:sz w:val="19"/>
          <w:szCs w:val="19"/>
          <w:b w:val="1"/>
          <w:bCs w:val="1"/>
          <w:color w:val="auto"/>
        </w:rPr>
        <w:t>The biotechnology and pharmaceutical industry is characterized by rapidly advancing technologies, fierce competition and a strong emphasis on proprietary drugs and defense of intellectual property. We face potential competition from many sources, including pharmaceutical and biotechnology companies, academic institutions, public and private research institutions, and governmental agencies. Any drug candidates that we successfully develop and commercialize will compete with existing treatments and new treatments that are in development and may become available in the future.</w:t>
      </w:r>
    </w:p>
    <w:p>
      <w:pPr>
        <w:spacing w:after="0" w:line="123"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b w:val="1"/>
          <w:bCs w:val="1"/>
          <w:color w:val="auto"/>
        </w:rPr>
        <w:t>To our knowledge, BDC-4182 is the only ISAC targeting claudin18.2. There are numerous claudin 18.2-targeting agents in development that utilize different therapeutic approaches, including monoclonal antibodies such as zolbetuximab, ASKB-589, FG-M108, and TST001; ADCs such as ATG-022, AZD0901/CMG901, IBI-343, and LM-302; bispecific antibodies such as ASP2138, AZD5863, givastomig, IBI-389, and QLS31905; and cell therapies or CAR-Ts such as CT041, IBI-345, and TAC101-CLDN18.2.</w:t>
      </w:r>
    </w:p>
    <w:p>
      <w:pPr>
        <w:spacing w:after="0" w:line="123"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color w:val="auto"/>
        </w:rPr>
        <w:t>Companies developing ISACs or TLR agonists could also be long-term competitors for our Boltbody ISAC platform technology. To the best of our knowledge, the only other ISACs in active clinical development are Pfizer’s PF-08046037, a PD-L1 antibody conjugated to a TLR-7 agonist, and Day One Biopharmaceuticals’ XMT-2056, a HER2-targeting antibody conjugated to a STING agonist. Turning to systemically administered TLR agonists, Eikon Therapeutics is developing EIK1001, a TLR 7/8 agonist. EIK1001 is in a Phase 3 study in combination with the PD-1 inhibitor pembrolizumab in melanoma and a Phase 2 study in combination with chemotherapy and pembrolizumab in non-small cell lung cancer. In preclinical studies, Boltbody ISACs have demonstrated greater effectiveness with differentiated biology compared to unconjugated TLR or STING agonists.</w:t>
      </w:r>
    </w:p>
    <w:p>
      <w:pPr>
        <w:spacing w:after="0" w:line="97"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To our knowledge, BDC-3042 is the only agonist antibody targeting dectin-2 in development and does not currently have any direct competition. The expression profile of dectin-2 and the safety profile that has been observed to date in dose escalation with BDC-3042 suggests that this agent could be combined with standard of care and/or other agents. In addition, dectin-2 appears to be upregulated in many different tumor types and, similar to checkpoint therapy, could have applicability to a wide range of indications with a potential market opportunity that exceeds $10 billion. There are numerous myeloid-directed therapies on the market or in development, including but not limited to those targeting CD40, CD47, Clever-1, dectin-1, LAIR1, LILRBs/ILTs, and SIRP-alpha.</w:t>
      </w:r>
    </w:p>
    <w:p>
      <w:pPr>
        <w:spacing w:after="0" w:line="94" w:lineRule="exact"/>
        <w:rPr>
          <w:sz w:val="20"/>
          <w:szCs w:val="20"/>
          <w:color w:val="auto"/>
        </w:rPr>
      </w:pPr>
    </w:p>
    <w:p>
      <w:pPr>
        <w:ind w:right="40"/>
        <w:spacing w:after="0" w:line="341" w:lineRule="auto"/>
        <w:rPr>
          <w:sz w:val="20"/>
          <w:szCs w:val="20"/>
          <w:color w:val="auto"/>
        </w:rPr>
      </w:pPr>
      <w:r>
        <w:rPr>
          <w:rFonts w:ascii="Arial" w:cs="Arial" w:eastAsia="Arial" w:hAnsi="Arial"/>
          <w:sz w:val="15"/>
          <w:szCs w:val="15"/>
          <w:b w:val="1"/>
          <w:bCs w:val="1"/>
          <w:color w:val="auto"/>
        </w:rPr>
        <w:t>Many of our potential competitors have significantly greater financial resources and experience than we do. Smaller or earlier-stage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and enrolling subjects for our clinical trials, as well</w:t>
      </w:r>
    </w:p>
    <w:p>
      <w:pPr>
        <w:sectPr>
          <w:pgSz w:w="12240" w:h="15840" w:orient="portrait"/>
          <w:cols w:equalWidth="0" w:num="1">
            <w:col w:w="9700"/>
          </w:cols>
          <w:pgMar w:left="1260" w:top="1089" w:right="1280" w:bottom="181"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w:t>
      </w:r>
    </w:p>
    <w:p>
      <w:pPr>
        <w:sectPr>
          <w:pgSz w:w="12240" w:h="15840" w:orient="portrait"/>
          <w:cols w:equalWidth="0" w:num="1">
            <w:col w:w="9700"/>
          </w:cols>
          <w:pgMar w:left="1260" w:top="1089" w:right="1280" w:bottom="181" w:gutter="0" w:footer="0" w:header="0"/>
          <w:type w:val="continuous"/>
        </w:sectPr>
      </w:pPr>
    </w:p>
    <w:bookmarkStart w:id="45" w:name="page46"/>
    <w:bookmarkEnd w:id="45"/>
    <w:p>
      <w:pPr>
        <w:spacing w:after="0"/>
        <w:rPr>
          <w:sz w:val="20"/>
          <w:szCs w:val="20"/>
          <w:color w:val="auto"/>
        </w:rPr>
      </w:pPr>
      <w:r>
        <w:rPr>
          <w:rFonts w:ascii="Arial" w:cs="Arial" w:eastAsia="Arial" w:hAnsi="Arial"/>
          <w:sz w:val="20"/>
          <w:szCs w:val="20"/>
          <w:b w:val="1"/>
          <w:bCs w:val="1"/>
          <w:color w:val="auto"/>
        </w:rPr>
        <w:t>as in acquiring technologies complementary to, or necessary for, our programs.</w:t>
      </w:r>
    </w:p>
    <w:p>
      <w:pPr>
        <w:spacing w:after="0" w:line="131" w:lineRule="exact"/>
        <w:rPr>
          <w:sz w:val="20"/>
          <w:szCs w:val="20"/>
          <w:color w:val="auto"/>
        </w:rPr>
      </w:pPr>
    </w:p>
    <w:p>
      <w:pPr>
        <w:spacing w:after="0" w:line="330" w:lineRule="auto"/>
        <w:rPr>
          <w:sz w:val="20"/>
          <w:szCs w:val="20"/>
          <w:color w:val="auto"/>
        </w:rPr>
      </w:pPr>
      <w:r>
        <w:rPr>
          <w:rFonts w:ascii="Arial" w:cs="Arial" w:eastAsia="Arial" w:hAnsi="Arial"/>
          <w:sz w:val="15"/>
          <w:szCs w:val="15"/>
          <w:b w:val="1"/>
          <w:bCs w:val="1"/>
          <w:color w:val="auto"/>
        </w:rPr>
        <w:t>Our success is dependent upon the successful development and commercialization of our pipeline candidates, including demonstrating advantages versus competing products in our target indications. We could see a reduction or elimination of our commercial opportunity if our competitors develop and commercialize products that are safer, more effective, have fewer or less severe side effects, are more convenient or are less expensive than any drug that we may develop. Our competitors also may be more successful than us in obtaining U.S. Food and Drug Administration, or the FDA, or other regulatory approvals for their drugs more rapidly than we may obtain approval for our pipeline candidates, which could result in our competitors establishing a strong market position before we are able to enter the market.</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13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color w:val="auto"/>
        </w:rPr>
        <w:t>Our commercial success depends in part on our ability to obtain, maintain and protect intellectual property and other proprietary rights for our current and future product candidates, and our Boltbody ISAC approach through a variety of methods, including seeking and maintaining patents intended to cover our Boltbody ISAC approach, our products and compositions, their methods of use and processes for their manufacture and any other inventions that are commercially important to the development of our business. We seek to develop technology and IP to operate without infringing, misappropriating or otherwise violating the intellectual property and proprietary rights of others and to prevent others from infringing, misappropriating or violating our intellectual property and proprietary rights. We also rely on trademarks, trade secrets, know-how, continuing technological innovation and confidential information to develop and maintain our proprietary position.</w:t>
      </w:r>
    </w:p>
    <w:p>
      <w:pPr>
        <w:spacing w:after="0" w:line="95"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b w:val="1"/>
          <w:bCs w:val="1"/>
          <w:color w:val="auto"/>
        </w:rPr>
        <w:t>Regardless of the coverage we seek under our existing patent applications, there is always a risk that an alteration to the product or process may provide sufficient basis for a competitor to avoid infringement claims. In addition, the coverage claimed in a patent application can be significantly reduced before a patent is issued and courts can reinterpret patent scope after issuance. Moreover, many jurisdictions, including the United States, permit third parties to challenge issued patents in administrative proceedings, which may result in further narrowing or even cancellation of patent claims. Furthermore, we cannot provide any assurance that any patents will be issued from our pending or any future applications or that any current or future issued patents will adequately protect our intellectual property. For this and other risks related to our proprietary technology, inventions, improvements, Boltbody ISAC approach and product candidates, please see the section entitled “Risk Factors–Risks Related to Our Intellectual Property.”</w:t>
      </w:r>
    </w:p>
    <w:p>
      <w:pPr>
        <w:spacing w:after="0" w:line="100"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color w:val="auto"/>
        </w:rPr>
        <w:t>As of December 31, 2025, we are maintaining 2 issued U.S. patents and 1 issued European patent that are solely owned by us and 3 issued U.S. patents and 1 issued European patent that we co-own with Stanford and for which Stanford has exclusively licensed its rights to us under the 2015 Stanford Agreement. In addition, as of December 31, 2025, we are maintaining 64 pending patent applications in various countries (17 of which are pending in the U.S., and 3 of which are Patent Cooperation Treaty ("PCT") applications that have yet to enter the national phase in the U.S. and other countries) that we own or co-own with Stanford and for which Stanford has exclusively licensed its rights to us under the 2015 Stanford Agreement.</w:t>
      </w:r>
    </w:p>
    <w:p>
      <w:pPr>
        <w:spacing w:after="0" w:line="107" w:lineRule="exact"/>
        <w:rPr>
          <w:sz w:val="20"/>
          <w:szCs w:val="20"/>
          <w:color w:val="auto"/>
        </w:rPr>
      </w:pPr>
    </w:p>
    <w:p>
      <w:pPr>
        <w:ind w:right="160"/>
        <w:spacing w:after="0" w:line="237" w:lineRule="auto"/>
        <w:rPr>
          <w:sz w:val="20"/>
          <w:szCs w:val="20"/>
          <w:color w:val="auto"/>
        </w:rPr>
      </w:pPr>
      <w:r>
        <w:rPr>
          <w:rFonts w:ascii="Arial" w:cs="Arial" w:eastAsia="Arial" w:hAnsi="Arial"/>
          <w:sz w:val="20"/>
          <w:szCs w:val="20"/>
          <w:b w:val="1"/>
          <w:bCs w:val="1"/>
          <w:color w:val="auto"/>
        </w:rPr>
        <w:t>We are maintaining 2 issued U.S. patents, 1 pending U.S.patent application, and 4 pending foreign patent applications, which we solely own, directed to BDC-3042, our novel agonistic antibody targeting an immune-activating receptor expressed on TAMs known as Dectin-2 (CLEC6A). The issued patent and the pending U.S. and foreign patent applications, if issued, are expected to expire between 2041 and 2044, excluding any extension of patent term that may be available.</w:t>
      </w:r>
    </w:p>
    <w:p>
      <w:pPr>
        <w:spacing w:after="0" w:line="134"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b w:val="1"/>
          <w:bCs w:val="1"/>
          <w:color w:val="auto"/>
        </w:rPr>
        <w:t>We are maintaining 2 pending U.S. patent applications, 18 pending foreign patent applications, and 1 pending PCT application that has yet to enter the national phase in the U.S. and other countries, which we solely own, directed to BDC-4182, our next-generation Boltbody ISAC clinical candidate targeting claudin 18.2. The pending U.S. and foreign patent applications, if issued, are expected to expire between 2040 and 2045, excluding any extension of patent term that may be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4544695</wp:posOffset>
            </wp:positionH>
            <wp:positionV relativeFrom="paragraph">
              <wp:posOffset>-352425</wp:posOffset>
            </wp:positionV>
            <wp:extent cx="3175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1750" cy="7620"/>
                    </a:xfrm>
                    <a:prstGeom prst="rect">
                      <a:avLst/>
                    </a:prstGeom>
                    <a:noFill/>
                  </pic:spPr>
                </pic:pic>
              </a:graphicData>
            </a:graphic>
          </wp:anchor>
        </w:drawing>
      </w:r>
    </w:p>
    <w:p>
      <w:pPr>
        <w:spacing w:after="0" w:line="109" w:lineRule="exact"/>
        <w:rPr>
          <w:sz w:val="20"/>
          <w:szCs w:val="20"/>
          <w:color w:val="auto"/>
        </w:rPr>
      </w:pPr>
    </w:p>
    <w:p>
      <w:pPr>
        <w:ind w:right="160"/>
        <w:spacing w:after="0" w:line="330" w:lineRule="auto"/>
        <w:rPr>
          <w:sz w:val="20"/>
          <w:szCs w:val="20"/>
          <w:color w:val="auto"/>
        </w:rPr>
      </w:pPr>
      <w:r>
        <w:rPr>
          <w:rFonts w:ascii="Arial" w:cs="Arial" w:eastAsia="Arial" w:hAnsi="Arial"/>
          <w:sz w:val="15"/>
          <w:szCs w:val="15"/>
          <w:b w:val="1"/>
          <w:bCs w:val="1"/>
          <w:color w:val="auto"/>
        </w:rPr>
        <w:t>In addition, we are maintaining 3 issued U.S. patents, 14 pending U.S. patent applications, 2 issued foreign patents, 22 pending foreign patent applications, and 2 PCT applications that have yet to enter the national phase in the U.S. and other countries, which are directed to ISAC technology other than BDC-3042 and BDC-4182, including 3 issued U.S. patents, 1 pending U.S. patent application, and 1 issued foreign patent covering our previous lead product candidate trastuzumab imbotolimod and the use thereof, which we co-own with Stanford and have exclusively licensed under the 2015 Stanford Agreement. The issued patents and the pending U.S. and foreign patent applications, if issued, are expected to expire between 2035 and 2045 excluding any extension of patent term that may be available.</w:t>
      </w:r>
    </w:p>
    <w:p>
      <w:pPr>
        <w:spacing w:after="0" w:line="233" w:lineRule="exact"/>
        <w:rPr>
          <w:sz w:val="20"/>
          <w:szCs w:val="20"/>
          <w:color w:val="auto"/>
        </w:rPr>
      </w:pPr>
    </w:p>
    <w:p>
      <w:pPr>
        <w:ind w:right="160"/>
        <w:spacing w:after="0" w:line="385" w:lineRule="auto"/>
        <w:rPr>
          <w:sz w:val="20"/>
          <w:szCs w:val="20"/>
          <w:color w:val="auto"/>
        </w:rPr>
      </w:pPr>
      <w:r>
        <w:rPr>
          <w:rFonts w:ascii="Arial" w:cs="Arial" w:eastAsia="Arial" w:hAnsi="Arial"/>
          <w:sz w:val="15"/>
          <w:szCs w:val="15"/>
          <w:b w:val="1"/>
          <w:bCs w:val="1"/>
          <w:color w:val="auto"/>
        </w:rPr>
        <w:t>The patents and patent applications licensed from Stanford are subject to retained rights by Stanford to allow academic and non-profit research institutions to practice the licensed technology and patents for non-commercial purposes. For</w:t>
      </w:r>
    </w:p>
    <w:p>
      <w:pPr>
        <w:sectPr>
          <w:pgSz w:w="12240" w:h="15840" w:orient="portrait"/>
          <w:cols w:equalWidth="0" w:num="1">
            <w:col w:w="9680"/>
          </w:cols>
          <w:pgMar w:left="1260" w:top="1079" w:right="1300" w:bottom="181" w:gutter="0" w:footer="0" w:header="0"/>
        </w:sect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6</w:t>
      </w:r>
    </w:p>
    <w:p>
      <w:pPr>
        <w:sectPr>
          <w:pgSz w:w="12240" w:h="15840" w:orient="portrait"/>
          <w:cols w:equalWidth="0" w:num="1">
            <w:col w:w="9680"/>
          </w:cols>
          <w:pgMar w:left="1260" w:top="1079" w:right="1300" w:bottom="181" w:gutter="0" w:footer="0" w:header="0"/>
          <w:type w:val="continuous"/>
        </w:sectPr>
      </w:pPr>
    </w:p>
    <w:bookmarkStart w:id="46" w:name="page47"/>
    <w:bookmarkEnd w:id="46"/>
    <w:p>
      <w:pPr>
        <w:spacing w:after="0"/>
        <w:rPr>
          <w:sz w:val="20"/>
          <w:szCs w:val="20"/>
          <w:color w:val="auto"/>
        </w:rPr>
      </w:pPr>
      <w:r>
        <w:rPr>
          <w:rFonts w:ascii="Arial" w:cs="Arial" w:eastAsia="Arial" w:hAnsi="Arial"/>
          <w:sz w:val="19"/>
          <w:szCs w:val="19"/>
          <w:b w:val="1"/>
          <w:bCs w:val="1"/>
          <w:color w:val="auto"/>
        </w:rPr>
        <w:t>more information regarding our license agreement with Stanford, please see “—License Agreements.”</w:t>
      </w:r>
    </w:p>
    <w:p>
      <w:pPr>
        <w:spacing w:after="0" w:line="132"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b w:val="1"/>
          <w:bCs w:val="1"/>
          <w:color w:val="auto"/>
        </w:rPr>
        <w:t>Some of our pending patent applications in the United States are provisional patent applications. Provisional patent applications are not eligible to become issued patents until, among other things, we file a non-provisional patent application within 12 months of filing of one or more of our related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123" w:lineRule="exact"/>
        <w:rPr>
          <w:sz w:val="20"/>
          <w:szCs w:val="20"/>
          <w:color w:val="auto"/>
        </w:rPr>
      </w:pPr>
    </w:p>
    <w:p>
      <w:pPr>
        <w:ind w:right="20"/>
        <w:spacing w:after="0" w:line="325" w:lineRule="auto"/>
        <w:rPr>
          <w:sz w:val="20"/>
          <w:szCs w:val="20"/>
          <w:color w:val="auto"/>
        </w:rPr>
      </w:pPr>
      <w:r>
        <w:rPr>
          <w:rFonts w:ascii="Arial" w:cs="Arial" w:eastAsia="Arial" w:hAnsi="Arial"/>
          <w:sz w:val="15"/>
          <w:szCs w:val="15"/>
          <w:b w:val="1"/>
          <w:bCs w:val="1"/>
          <w:color w:val="auto"/>
        </w:rPr>
        <w:t>The terms of individual issued patents extend for varying periods depending on the date of filing of the patent applications or the dates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assuming the patent has not been terminally disclaimed over a commonly 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our issued patents have expired, we may face competition, including from other competing technologies. In addition, in certain instances, the term of a U.S. patent can be extended to recapture a portion of the delay by the USPTO in issuing the patent as well as a portion of the term effectively lost as a result of the FDA regulatory review period. However, as to the FDA component, the restoration period cannot be longer than five years, the total patent term including the restoration period must not exceed 14 years following FDA approval, only one patent applicable to each regulatory review period may be extended and only those claims covering the approved drug or a method for using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w:t>
      </w:r>
    </w:p>
    <w:p>
      <w:pPr>
        <w:spacing w:after="0" w:line="30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color w:val="auto"/>
        </w:rPr>
        <w:t>Moreover, the length of the extension could be less than we request. There can be no assurance that we will benefit from any patent term extension or favorable adjustment to the term of any of our patents. The duration of foreign patents varies in accordance with provisions of applicable local law, but typically is also 20 years from the earliest effective filing date. The actual protection afforded by a patent may vary on a product-by-product basis and from country to country and can depend upon many factors, including the type of patent, the scope of its coverage, the availability of regulatory-related extensions, the availability of legal remedies in a particular country and the validity and enforceability of the patent. As a result, our owned and licensed patent portfolio may not provide us with sufficient rights to exclude others from commercializing products similar or identical to ours.</w:t>
      </w:r>
    </w:p>
    <w:p>
      <w:pPr>
        <w:spacing w:after="0" w:line="95" w:lineRule="exact"/>
        <w:rPr>
          <w:sz w:val="20"/>
          <w:szCs w:val="20"/>
          <w:color w:val="auto"/>
        </w:rPr>
      </w:pPr>
    </w:p>
    <w:p>
      <w:pPr>
        <w:spacing w:after="0" w:line="325" w:lineRule="auto"/>
        <w:rPr>
          <w:sz w:val="20"/>
          <w:szCs w:val="20"/>
          <w:color w:val="auto"/>
        </w:rPr>
      </w:pPr>
      <w:r>
        <w:rPr>
          <w:rFonts w:ascii="Arial" w:cs="Arial" w:eastAsia="Arial" w:hAnsi="Arial"/>
          <w:sz w:val="15"/>
          <w:szCs w:val="15"/>
          <w:b w:val="1"/>
          <w:bCs w:val="1"/>
          <w:color w:val="auto"/>
        </w:rPr>
        <w:t>Furthermore, we rely upon trade secrets and know-how, confidential information, unpatented technologies, continuing technological innovation and other proprietary information to develop, protect and maintain our competitive position and aspects of our business that are not amenable to, or that we do not presently consider appropriate for, patent protection and prevent competitors from reverse engineering or copying our technologies. However, the foregoing rights, technologies and information are difficult to protect. We seek to protect them by, in part, using confidentiality agreements with our employees and consultants and any potential commercial partners and collaborators and invention assignment agreements with our employees. We also have implemented or intend to implement confidentiality agreements or invention assignment agreements with our selected consultants and any potential commercial partners.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There can be no assurance that these agreements will provide meaningful protection for our trade secrets or other intellectual property or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w:t>
      </w:r>
    </w:p>
    <w:p>
      <w:pPr>
        <w:sectPr>
          <w:pgSz w:w="12240" w:h="15840" w:orient="portrait"/>
          <w:cols w:equalWidth="0" w:num="1">
            <w:col w:w="9700"/>
          </w:cols>
          <w:pgMar w:left="1260" w:top="1089" w:right="1280" w:bottom="181" w:gutter="0" w:footer="0" w:header="0"/>
          <w:type w:val="continuous"/>
        </w:sectPr>
      </w:pPr>
    </w:p>
    <w:bookmarkStart w:id="47" w:name="page48"/>
    <w:bookmarkEnd w:id="47"/>
    <w:p>
      <w:pPr>
        <w:spacing w:after="0" w:line="326" w:lineRule="auto"/>
        <w:rPr>
          <w:sz w:val="20"/>
          <w:szCs w:val="20"/>
          <w:color w:val="auto"/>
        </w:rPr>
      </w:pPr>
      <w:r>
        <w:rPr>
          <w:rFonts w:ascii="Arial" w:cs="Arial" w:eastAsia="Arial" w:hAnsi="Arial"/>
          <w:sz w:val="15"/>
          <w:szCs w:val="15"/>
          <w:b w:val="1"/>
          <w:bCs w:val="1"/>
          <w:color w:val="auto"/>
        </w:rPr>
        <w:t>Our commercial success will also depend in part on not infringing, misappropriating or otherwise violating the intellectual or proprietary rights of third parties. The issuance of third-party patents could require us to alter our development or commercial strategies, change our products or processes, obtain licenses to additional third-party patents or other intellectual property or cease certain activities. Our breach of any license agreements or failure to obtain a license to proprietary rights that we may require to develop or commercialize our future products may have an adverse impact on us. Given that patent applications in the United States and certain other jurisdictions are maintained in secrecy for 18 months or potentially longer and the publication of discoveries in scientific or patent literature often lags actual discoveries, we cannot be certain of the patent protection being sought by third parties and/or the priority of inventions covered by such patent applications. Moreover, we may have to participate in interference, revocation, derivation, re-examination, post-grant review, inter partes review, or opposition proceedings brought by third parties or declared by the USPTO or an equivalent foreign body. See “Risk Factors–Risks Related to Our Intellectual Property” for additional information regarding these and other risks related to our intellectual property portfolio and their potential effect on us.</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131"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b w:val="1"/>
          <w:bCs w:val="1"/>
          <w:color w:val="auto"/>
        </w:rPr>
        <w:t>Government authorities in the United States at the federal, state, and local level and in other countries and jurisdictions, extensively regulate, among other things, the research, development, testing, manufacture, quality control, approval, labeling, packaging, storage, record-keeping, promotion, advertising, distribution, post-approval monitoring and reporting, marketing, and export and import of drug and biological products, such as our investigational medicines and any future investigational medicines. Generally, before a new drug or biologic can be marketed, considerable data demonstrating its quality, safety and efficacy must be obtained, organized into a format specific for each regulatory authority, submitted for review and approved by the regulatory authority.</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Approval in the United States</w:t>
      </w:r>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In the United States, pharmaceutical products are subject to extensive regulation by the FDA under the Federal Food, Drug, and Cosmetic Act, or FDCA, the Public Health Service Act, or PHSA, and other federal and state statutes and regulations. These regulations govern, among other things, the research, development, testing, manufacture, storage, recordkeeping, approval, labeling, promotion and marketing, distribution, post-approval monitoring and reporting, sampling, and import and export of pharmaceutical products, including biological products such as our Boltbody ISAC product candidates. Our Boltbody ISACs and monoclonal antibodies are subject to approval for marketing via a Biologics License Application, or BLA. Failure to comply with applicable U.S. requirements may subject a company to a variety of administrative or judicial sanctions, such as clinical hold, FDA refusal to approve pending BLAs, warning or untitled letters, product recalls, product seizures, total or partial suspension of production or distribution, injunctions, fines, civil penalties, and criminal prosecution.</w:t>
      </w:r>
    </w:p>
    <w:p>
      <w:pPr>
        <w:spacing w:after="0" w:line="110" w:lineRule="exact"/>
        <w:rPr>
          <w:sz w:val="20"/>
          <w:szCs w:val="20"/>
          <w:color w:val="auto"/>
        </w:rPr>
      </w:pPr>
    </w:p>
    <w:p>
      <w:pPr>
        <w:ind w:right="160"/>
        <w:spacing w:after="0" w:line="251" w:lineRule="auto"/>
        <w:rPr>
          <w:sz w:val="20"/>
          <w:szCs w:val="20"/>
          <w:color w:val="auto"/>
        </w:rPr>
      </w:pPr>
      <w:r>
        <w:rPr>
          <w:rFonts w:ascii="Arial" w:cs="Arial" w:eastAsia="Arial" w:hAnsi="Arial"/>
          <w:sz w:val="19"/>
          <w:szCs w:val="19"/>
          <w:b w:val="1"/>
          <w:bCs w:val="1"/>
          <w:color w:val="auto"/>
        </w:rPr>
        <w:t>Our investigational medicines and any future investigational medicines must be approved by the FDA before they may be legally marketed in the United States. The process generally involves the following:</w:t>
      </w:r>
    </w:p>
    <w:p>
      <w:pPr>
        <w:spacing w:after="0" w:line="113" w:lineRule="exact"/>
        <w:rPr>
          <w:sz w:val="20"/>
          <w:szCs w:val="20"/>
          <w:color w:val="auto"/>
        </w:rPr>
      </w:pPr>
    </w:p>
    <w:p>
      <w:pPr>
        <w:ind w:left="500" w:right="540"/>
        <w:spacing w:after="0" w:line="385" w:lineRule="auto"/>
        <w:rPr>
          <w:sz w:val="20"/>
          <w:szCs w:val="20"/>
          <w:color w:val="auto"/>
        </w:rPr>
      </w:pPr>
      <w:r>
        <w:rPr>
          <w:rFonts w:ascii="Arial" w:cs="Arial" w:eastAsia="Arial" w:hAnsi="Arial"/>
          <w:sz w:val="15"/>
          <w:szCs w:val="15"/>
          <w:b w:val="1"/>
          <w:bCs w:val="1"/>
          <w:color w:val="auto"/>
        </w:rPr>
        <w:t>completion of extensive preclinical laboratory and animal studies in accordance with applicable regulations, including studies conducted in accordance with Good Laboratory Practice, or GLP, requirements;</w:t>
      </w:r>
    </w:p>
    <w:p>
      <w:pPr>
        <w:spacing w:after="0" w:line="4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submission to the FDA of an IND, which must become effective before human clinical trials may begin;</w:t>
      </w:r>
    </w:p>
    <w:p>
      <w:pPr>
        <w:spacing w:after="0" w:line="146" w:lineRule="exact"/>
        <w:rPr>
          <w:sz w:val="20"/>
          <w:szCs w:val="20"/>
          <w:color w:val="auto"/>
        </w:rPr>
      </w:pPr>
    </w:p>
    <w:p>
      <w:pPr>
        <w:ind w:left="500" w:right="480"/>
        <w:spacing w:after="0" w:line="234" w:lineRule="auto"/>
        <w:rPr>
          <w:sz w:val="20"/>
          <w:szCs w:val="20"/>
          <w:color w:val="auto"/>
        </w:rPr>
      </w:pPr>
      <w:r>
        <w:rPr>
          <w:rFonts w:ascii="Arial" w:cs="Arial" w:eastAsia="Arial" w:hAnsi="Arial"/>
          <w:sz w:val="20"/>
          <w:szCs w:val="20"/>
          <w:b w:val="1"/>
          <w:bCs w:val="1"/>
          <w:color w:val="auto"/>
        </w:rPr>
        <w:t>approval by an Institutional Review Board, or IRB, or independent ethics committee at each clinical trial site before each clinical trial may be commenced;</w:t>
      </w:r>
    </w:p>
    <w:p>
      <w:pPr>
        <w:spacing w:after="0" w:line="144" w:lineRule="exact"/>
        <w:rPr>
          <w:sz w:val="20"/>
          <w:szCs w:val="20"/>
          <w:color w:val="auto"/>
        </w:rPr>
      </w:pPr>
    </w:p>
    <w:p>
      <w:pPr>
        <w:ind w:left="500" w:right="40"/>
        <w:spacing w:after="0" w:line="253" w:lineRule="auto"/>
        <w:rPr>
          <w:sz w:val="20"/>
          <w:szCs w:val="20"/>
          <w:color w:val="auto"/>
        </w:rPr>
      </w:pPr>
      <w:r>
        <w:rPr>
          <w:rFonts w:ascii="Arial" w:cs="Arial" w:eastAsia="Arial" w:hAnsi="Arial"/>
          <w:sz w:val="19"/>
          <w:szCs w:val="19"/>
          <w:b w:val="1"/>
          <w:bCs w:val="1"/>
          <w:color w:val="auto"/>
        </w:rPr>
        <w:t>performance of adequate and well-controlled human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submission to the FDA of a BLA and payment of any user fees for FDA review of the BLA;</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a determination by the FDA within 60 days of its receipt of a BLA to accept the filing for review;</w:t>
      </w:r>
    </w:p>
    <w:p>
      <w:pPr>
        <w:spacing w:after="0" w:line="145" w:lineRule="exact"/>
        <w:rPr>
          <w:sz w:val="20"/>
          <w:szCs w:val="20"/>
          <w:color w:val="auto"/>
        </w:rPr>
      </w:pPr>
    </w:p>
    <w:p>
      <w:pPr>
        <w:ind w:left="500" w:right="300"/>
        <w:spacing w:after="0" w:line="236" w:lineRule="auto"/>
        <w:rPr>
          <w:sz w:val="20"/>
          <w:szCs w:val="20"/>
          <w:color w:val="auto"/>
        </w:rPr>
      </w:pPr>
      <w:r>
        <w:rPr>
          <w:rFonts w:ascii="Arial" w:cs="Arial" w:eastAsia="Arial" w:hAnsi="Arial"/>
          <w:sz w:val="20"/>
          <w:szCs w:val="20"/>
          <w:b w:val="1"/>
          <w:bCs w:val="1"/>
          <w:color w:val="auto"/>
        </w:rPr>
        <w:t>satisfactory completion of one or more FDA pre-approval inspections of the manufacturing facility or facilities where the biologic, or components thereof, will be produced to assess compliance with cGMP requirements to assure that the facilities, methods and controls are adequate to preserve the biologic’s identity, strength, quality and purity;</w:t>
      </w:r>
    </w:p>
    <w:p>
      <w:pPr>
        <w:spacing w:after="0" w:line="149" w:lineRule="exact"/>
        <w:rPr>
          <w:sz w:val="20"/>
          <w:szCs w:val="20"/>
          <w:color w:val="auto"/>
        </w:rPr>
      </w:pPr>
    </w:p>
    <w:p>
      <w:pPr>
        <w:ind w:left="500" w:right="180"/>
        <w:spacing w:after="0" w:line="234" w:lineRule="auto"/>
        <w:rPr>
          <w:sz w:val="20"/>
          <w:szCs w:val="20"/>
          <w:color w:val="auto"/>
        </w:rPr>
      </w:pPr>
      <w:r>
        <w:rPr>
          <w:rFonts w:ascii="Arial" w:cs="Arial" w:eastAsia="Arial" w:hAnsi="Arial"/>
          <w:sz w:val="20"/>
          <w:szCs w:val="20"/>
          <w:b w:val="1"/>
          <w:bCs w:val="1"/>
          <w:color w:val="auto"/>
        </w:rPr>
        <w:t>satisfactory completion of any potential FDA audits of the clinical trial sites that generated the data in support of the BLA to assure compliance with GCP and integrity of the clinical data;</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FDA review and approval of the BLA, including consideration of the views of any FDA advisory committee; and</w:t>
      </w:r>
    </w:p>
    <w:p>
      <w:pPr>
        <w:sectPr>
          <w:pgSz w:w="12240" w:h="15840" w:orient="portrait"/>
          <w:cols w:equalWidth="0" w:num="1">
            <w:col w:w="9680"/>
          </w:cols>
          <w:pgMar w:left="1260" w:top="1089" w:right="1300" w:bottom="181"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8</w:t>
      </w:r>
    </w:p>
    <w:p>
      <w:pPr>
        <w:sectPr>
          <w:pgSz w:w="12240" w:h="15840" w:orient="portrait"/>
          <w:cols w:equalWidth="0" w:num="1">
            <w:col w:w="9680"/>
          </w:cols>
          <w:pgMar w:left="1260" w:top="1089" w:right="1300" w:bottom="181" w:gutter="0" w:footer="0" w:header="0"/>
          <w:type w:val="continuous"/>
        </w:sectPr>
      </w:pPr>
    </w:p>
    <w:bookmarkStart w:id="48" w:name="page49"/>
    <w:bookmarkEnd w:id="48"/>
    <w:p>
      <w:pPr>
        <w:ind w:left="500" w:right="240"/>
        <w:spacing w:after="0" w:line="281" w:lineRule="auto"/>
        <w:rPr>
          <w:sz w:val="20"/>
          <w:szCs w:val="20"/>
          <w:color w:val="auto"/>
        </w:rPr>
      </w:pPr>
      <w:r>
        <w:rPr>
          <w:rFonts w:ascii="Arial" w:cs="Arial" w:eastAsia="Arial" w:hAnsi="Arial"/>
          <w:sz w:val="18"/>
          <w:szCs w:val="18"/>
          <w:b w:val="1"/>
          <w:bCs w:val="1"/>
          <w:color w:val="auto"/>
        </w:rPr>
        <w:t>compliance with any post-approval requirements, including Risk Evaluation and Mitigation Strategy, or REMS, where applicable, and post-approval studies required by the FDA as a condition of approval.</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Preclinical Studies</w:t>
      </w:r>
    </w:p>
    <w:p>
      <w:pPr>
        <w:spacing w:after="0" w:line="131" w:lineRule="exact"/>
        <w:rPr>
          <w:sz w:val="20"/>
          <w:szCs w:val="20"/>
          <w:color w:val="auto"/>
        </w:rPr>
      </w:pPr>
    </w:p>
    <w:p>
      <w:pPr>
        <w:ind w:right="60"/>
        <w:spacing w:after="0" w:line="326" w:lineRule="auto"/>
        <w:rPr>
          <w:sz w:val="20"/>
          <w:szCs w:val="20"/>
          <w:color w:val="auto"/>
        </w:rPr>
      </w:pPr>
      <w:r>
        <w:rPr>
          <w:rFonts w:ascii="Arial" w:cs="Arial" w:eastAsia="Arial" w:hAnsi="Arial"/>
          <w:sz w:val="15"/>
          <w:szCs w:val="15"/>
          <w:b w:val="1"/>
          <w:bCs w:val="1"/>
          <w:color w:val="auto"/>
        </w:rPr>
        <w:t>Before testing any biological product candidates in humans, the product candidate must undergo rigorous preclinical testing.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An IND is a request for authorization from the FDA to administer an investigational product to humans and must become effective before human clinical trials may begin. Some long-term preclinical testing may continue after the IND is submitted. An IND automatically becomes effective 30 days after receipt by the FDA, unless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 Trials</w:t>
      </w:r>
    </w:p>
    <w:p>
      <w:pPr>
        <w:spacing w:after="0" w:line="131"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color w:val="auto"/>
        </w:rPr>
        <w:t>The clinical stage of development involves the administration of the investigational product to healthy volunteers or patients under the supervision of qualified investigators, generally physicians not employed by or under the trial sponsor’s control. Clinical trials must be conducted: (i) in compliance with federal regulations; (ii) in compliance with GCP, an international standard meant to protect the rights and health of patients and to define the roles of clinical trial sponsors, administrators and monitors; as well as (iii) under protocols detailing, among other things, the objectives of the trial, the parameters to be used in monitoring safety and the effectiveness criteria to be evaluated in the trial. Each protocol involving testing on U.S. patients and subsequent protocol amendments must be submitted to the FDA as part of the IND. Furthermore, each clinical trial must be reviewed and approved by an Institutional Review Board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w:t>
      </w:r>
    </w:p>
    <w:p>
      <w:pPr>
        <w:spacing w:after="0" w:line="94" w:lineRule="exact"/>
        <w:rPr>
          <w:sz w:val="20"/>
          <w:szCs w:val="20"/>
          <w:color w:val="auto"/>
        </w:rPr>
      </w:pPr>
    </w:p>
    <w:p>
      <w:pPr>
        <w:ind w:right="140"/>
        <w:spacing w:after="0" w:line="292" w:lineRule="auto"/>
        <w:rPr>
          <w:sz w:val="20"/>
          <w:szCs w:val="20"/>
          <w:color w:val="auto"/>
        </w:rPr>
      </w:pPr>
      <w:r>
        <w:rPr>
          <w:rFonts w:ascii="Arial" w:cs="Arial" w:eastAsia="Arial" w:hAnsi="Arial"/>
          <w:sz w:val="17"/>
          <w:szCs w:val="17"/>
          <w:b w:val="1"/>
          <w:bCs w:val="1"/>
          <w:color w:val="auto"/>
        </w:rPr>
        <w:t>There also are requirements governing the reporting of ongoing clinical trials and completed clinical trial results to public registries. The FDA will accept a well-designed and well-conducted foreign clinical trial not conducted under an IND if the clinical trial was conducted in accordance with GCP requirements and reflected the makeup of the United States population, and the FDA is able to validate the data through an onsite inspection if deemed necessary.</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Clinical trials are generally conducted in three sequential phases, known as Phase 1, Phase 2 and Phase 3:</w:t>
      </w:r>
    </w:p>
    <w:p>
      <w:pPr>
        <w:spacing w:after="0" w:line="124" w:lineRule="exact"/>
        <w:rPr>
          <w:sz w:val="20"/>
          <w:szCs w:val="20"/>
          <w:color w:val="auto"/>
        </w:rPr>
      </w:pPr>
    </w:p>
    <w:p>
      <w:pPr>
        <w:ind w:left="500" w:right="20"/>
        <w:spacing w:after="0" w:line="342" w:lineRule="auto"/>
        <w:rPr>
          <w:sz w:val="20"/>
          <w:szCs w:val="20"/>
          <w:color w:val="auto"/>
        </w:rPr>
      </w:pPr>
      <w:r>
        <w:rPr>
          <w:rFonts w:ascii="Arial" w:cs="Arial" w:eastAsia="Arial" w:hAnsi="Arial"/>
          <w:sz w:val="15"/>
          <w:szCs w:val="15"/>
          <w:b w:val="1"/>
          <w:bCs w:val="1"/>
          <w:color w:val="auto"/>
        </w:rPr>
        <w:t>Phase 1 clinical trials generally involve a small number of subjects with the target disease, usually studying an escalating single dose or multiple doses of the product candidate. The primary purpose of Phase 1 trials is to assess the metabolism, pharmacokinetics, pharmacologic action, side effect tolerability, safety of the product candidate, determine the dosing regimen(s) for subsequent investigations, and, if possible, early evidence of effectiveness.</w:t>
      </w:r>
    </w:p>
    <w:p>
      <w:pPr>
        <w:spacing w:after="0" w:line="72" w:lineRule="exact"/>
        <w:rPr>
          <w:sz w:val="20"/>
          <w:szCs w:val="20"/>
          <w:color w:val="auto"/>
        </w:rPr>
      </w:pPr>
    </w:p>
    <w:p>
      <w:pPr>
        <w:ind w:left="500" w:right="280"/>
        <w:spacing w:after="0" w:line="296" w:lineRule="auto"/>
        <w:rPr>
          <w:sz w:val="20"/>
          <w:szCs w:val="20"/>
          <w:color w:val="auto"/>
        </w:rPr>
      </w:pPr>
      <w:r>
        <w:rPr>
          <w:rFonts w:ascii="Arial" w:cs="Arial" w:eastAsia="Arial" w:hAnsi="Arial"/>
          <w:sz w:val="17"/>
          <w:szCs w:val="17"/>
          <w:b w:val="1"/>
          <w:bCs w:val="1"/>
          <w:color w:val="auto"/>
        </w:rPr>
        <w:t>Phase 2 clinical trials generally involve studies in subjects with the target disease to evaluate effectiveness for a specific indication or indications. At the same time, safety and further pharmacokinetic and pharmacodynamic information is collected and possible adverse effects and safety risks are identified.</w:t>
      </w:r>
    </w:p>
    <w:p>
      <w:pPr>
        <w:spacing w:after="0" w:line="99" w:lineRule="exact"/>
        <w:rPr>
          <w:sz w:val="20"/>
          <w:szCs w:val="20"/>
          <w:color w:val="auto"/>
        </w:rPr>
      </w:pPr>
    </w:p>
    <w:p>
      <w:pPr>
        <w:ind w:left="500" w:right="40"/>
        <w:spacing w:after="0" w:line="237" w:lineRule="auto"/>
        <w:rPr>
          <w:sz w:val="20"/>
          <w:szCs w:val="20"/>
          <w:color w:val="auto"/>
        </w:rPr>
      </w:pPr>
      <w:r>
        <w:rPr>
          <w:rFonts w:ascii="Arial" w:cs="Arial" w:eastAsia="Arial" w:hAnsi="Arial"/>
          <w:sz w:val="20"/>
          <w:szCs w:val="20"/>
          <w:b w:val="1"/>
          <w:bCs w:val="1"/>
          <w:color w:val="auto"/>
        </w:rPr>
        <w:t>Phase 3 clinical trials generally involve a large number of patients at multiple sites and are designed to provide the data necessary to demonstrate clinical efficacy of the product for its intended use, its safety in use and to establish the overall benefit/risk relationship of the product and provide an adequate basis for product labeling. In most cases, the FDA requires two adequate and well-controlled Phase 3 clinical trials to demonstrate the efficacy of a product.</w:t>
      </w:r>
    </w:p>
    <w:p>
      <w:pPr>
        <w:spacing w:after="0" w:line="157"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b w:val="1"/>
          <w:bCs w:val="1"/>
          <w:color w:val="auto"/>
        </w:rPr>
        <w:t>These phases may overlap or be combined. For example, a Phase 1/2 clinical trial may contain both a dose-escalation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spacing w:after="0" w:line="133"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color w:val="auto"/>
        </w:rPr>
        <w:t>A single Phase 3 or Phase 2 trial with other confirmatory evidence may be sufficient to provide substantial evidence of effectiveness (generally subject to the requirement of additional post-approval studies).</w:t>
      </w:r>
    </w:p>
    <w:p>
      <w:pPr>
        <w:sectPr>
          <w:pgSz w:w="12240" w:h="15840" w:orient="portrait"/>
          <w:cols w:equalWidth="0" w:num="1">
            <w:col w:w="9700"/>
          </w:cols>
          <w:pgMar w:left="1260" w:top="1081"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w:t>
      </w:r>
    </w:p>
    <w:p>
      <w:pPr>
        <w:sectPr>
          <w:pgSz w:w="12240" w:h="15840" w:orient="portrait"/>
          <w:cols w:equalWidth="0" w:num="1">
            <w:col w:w="9700"/>
          </w:cols>
          <w:pgMar w:left="1260" w:top="1081" w:right="1280" w:bottom="181" w:gutter="0" w:footer="0" w:header="0"/>
          <w:type w:val="continuous"/>
        </w:sectPr>
      </w:pPr>
    </w:p>
    <w:bookmarkStart w:id="49" w:name="page50"/>
    <w:bookmarkEnd w:id="49"/>
    <w:p>
      <w:pPr>
        <w:ind w:right="40"/>
        <w:spacing w:after="0" w:line="252" w:lineRule="auto"/>
        <w:rPr>
          <w:sz w:val="20"/>
          <w:szCs w:val="20"/>
          <w:color w:val="auto"/>
        </w:rPr>
      </w:pPr>
      <w:r>
        <w:rPr>
          <w:rFonts w:ascii="Arial" w:cs="Arial" w:eastAsia="Arial" w:hAnsi="Arial"/>
          <w:sz w:val="19"/>
          <w:szCs w:val="19"/>
          <w:b w:val="1"/>
          <w:bCs w:val="1"/>
          <w:color w:val="auto"/>
        </w:rPr>
        <w:t>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recommendations as to whether a trial may move forward at designated checkpoints based on access to certain data from the trial.</w:t>
      </w:r>
    </w:p>
    <w:p>
      <w:pPr>
        <w:spacing w:after="0" w:line="123"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b w:val="1"/>
          <w:bCs w:val="1"/>
          <w:color w:val="auto"/>
        </w:rPr>
        <w:t>Concurrent with clinical trials, companies usually complete additional animal studies, and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potency and purity of the final product. Additionally, appropriate packaging must be selected and tested, and stability studies must be conducted to demonstrate that the investigational medicines do not undergo unacceptable deterioration over their shelf life.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Review Process</w:t>
      </w:r>
    </w:p>
    <w:p>
      <w:pPr>
        <w:spacing w:after="0" w:line="131"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b w:val="1"/>
          <w:bCs w:val="1"/>
          <w:color w:val="auto"/>
        </w:rPr>
        <w:t>Following completion of the clinical trials, the results of preclinical studies and clinical trials are submitted to the FDA as part of a BLA, along with proposed labeling, chemistry, and manufacturing information to ensure product quality and other relevant data. To support marketing approval, the data submitted must be sufficient in quality and quantity to establish the safety and efficacy of the investigational product to the satisfaction of the FDA. FDA approval of a BLA must be obtained before a biologic or drug may be marketed in the United States.</w:t>
      </w:r>
    </w:p>
    <w:p>
      <w:pPr>
        <w:spacing w:after="0" w:line="105" w:lineRule="exact"/>
        <w:rPr>
          <w:sz w:val="20"/>
          <w:szCs w:val="20"/>
          <w:color w:val="auto"/>
        </w:rPr>
      </w:pPr>
    </w:p>
    <w:p>
      <w:pPr>
        <w:ind w:right="140"/>
        <w:spacing w:after="0" w:line="292" w:lineRule="auto"/>
        <w:rPr>
          <w:sz w:val="20"/>
          <w:szCs w:val="20"/>
          <w:color w:val="auto"/>
        </w:rPr>
      </w:pPr>
      <w:r>
        <w:rPr>
          <w:rFonts w:ascii="Arial" w:cs="Arial" w:eastAsia="Arial" w:hAnsi="Arial"/>
          <w:sz w:val="17"/>
          <w:szCs w:val="17"/>
          <w:b w:val="1"/>
          <w:bCs w:val="1"/>
          <w:color w:val="auto"/>
        </w:rPr>
        <w:t>The cost of preparing and submitting a BLA is substantial. Under the Prescription Drug User Fee Act, or PDUFA, each BLA must be accompanied by a substantial user fee. The FDA adjusts the PDUFA user fees on an annual basis. Fee waivers or reductions are available in certain circumstances, including a waiver of the application fee for the first application filed by a small business. The applicant under an approved BLA is also subject to an annual program fee.</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The FDA reviews all submitted BLAs before it accepts them for filing and may request additional information. The FDA must make a decision on accepting a BLA for filing within 60 days of receipt, and such decision could include a refusal to file by the FDA. Once the submission is accepted for filing, the FDA begins an in-depth review of the BLA. Under the goals and policies agreed to by the FDA under PDUFA, the FDA has 10 months, from the filing date, in which to complete its initial review of an original BLA for a new molecular entity and respond to the applicant, and six months from the filing date of an original BLA designated for priority review. The review process for both standard and priority review may be extended by the FDA for three additional months to consider certain late-submitted information, or information intended to clarify information already provided in the submission. The FDA does not always meet its PDUFA goal date.</w:t>
      </w:r>
    </w:p>
    <w:p>
      <w:pPr>
        <w:spacing w:after="0" w:line="10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color w:val="auto"/>
        </w:rPr>
        <w:t>Before approving a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w:t>
      </w:r>
    </w:p>
    <w:p>
      <w:pPr>
        <w:spacing w:after="0" w:line="104"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b w:val="1"/>
          <w:bCs w:val="1"/>
          <w:color w:val="auto"/>
        </w:rPr>
        <w:t>The FDA also may audit data from clinical trials to ensure compliance with GCP requirements and the integrity of the data supporting safety and efficacy. Additionally,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generally follows such recommendations when making decisions on approval.</w:t>
      </w:r>
    </w:p>
    <w:p>
      <w:pPr>
        <w:spacing w:after="0" w:line="10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After the FDA evaluates a BLA, it will issue either an approval letter or a Complete Response Letter, or CRL. An approval letter authorizes commercial marketing of the biologic with specific prescribing information for specific indications. A CRL indicates that the review cycle of the application is complete, and the application will not be approved in its present form. A CRL generally outlines the deficiencies in the BLA and may require additional clinical data, additional pivotal clinical trial(s) and/or other significant and time-consuming requirements related to clinical trials, preclinical studies, or manufacturing for the FDA to reconsider the application. If a CRL is issued, the applicant may either resubmit the BLA, addressing all deficiencies identified in the letter, or withdraw the application or request an opportunity for a hearing. The FDA has committed to reviewing such resubmissions in two or six months, depending on the type of information included. Even if such data and information are submitted, the FDA may decide that the BLA does not satisfy the criteria for approval.</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10</w:t>
      </w:r>
    </w:p>
    <w:p>
      <w:pPr>
        <w:sectPr>
          <w:pgSz w:w="12240" w:h="15840" w:orient="portrait"/>
          <w:cols w:equalWidth="0" w:num="1">
            <w:col w:w="9700"/>
          </w:cols>
          <w:pgMar w:left="1260" w:top="1089" w:right="1280" w:bottom="181" w:gutter="0" w:footer="0" w:header="0"/>
          <w:type w:val="continuous"/>
        </w:sectPr>
      </w:pPr>
    </w:p>
    <w:bookmarkStart w:id="50" w:name="page51"/>
    <w:bookmarkEnd w:id="50"/>
    <w:p>
      <w:pPr>
        <w:ind w:right="60"/>
        <w:spacing w:after="0" w:line="269" w:lineRule="auto"/>
        <w:rPr>
          <w:sz w:val="20"/>
          <w:szCs w:val="20"/>
          <w:color w:val="auto"/>
        </w:rPr>
      </w:pPr>
      <w:r>
        <w:rPr>
          <w:rFonts w:ascii="Arial" w:cs="Arial" w:eastAsia="Arial" w:hAnsi="Arial"/>
          <w:sz w:val="18"/>
          <w:szCs w:val="18"/>
          <w:b w:val="1"/>
          <w:bCs w:val="1"/>
          <w:color w:val="auto"/>
        </w:rPr>
        <w:t>As a condition of BLA approval, the FDA may require a REMS to help ensure that the benefits of the biologic outweigh the potential risks to patients. A REMS can include medication guides, communication plans for healthcare professionals, and elements to assure a product’s safe use, or ETASU. An ETASU can include, but is not limited to, special training or certification for prescribing or dispensing the product, dispensing the product only under certain circumstances, special monitoring and the use of patient-specific registries. The requirement for a REMS can materially affect the potential market and profitability of the product. Moreover, the FDA may require substantial post-approval testing and surveillance to monitor the product’s safety or efficacy.</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Expedited Development and Review Programs</w:t>
      </w:r>
    </w:p>
    <w:p>
      <w:pPr>
        <w:spacing w:after="0" w:line="129" w:lineRule="exact"/>
        <w:rPr>
          <w:sz w:val="20"/>
          <w:szCs w:val="20"/>
          <w:color w:val="auto"/>
        </w:rPr>
      </w:pPr>
    </w:p>
    <w:p>
      <w:pPr>
        <w:ind w:right="560"/>
        <w:spacing w:after="0" w:line="254" w:lineRule="auto"/>
        <w:rPr>
          <w:sz w:val="20"/>
          <w:szCs w:val="20"/>
          <w:color w:val="auto"/>
        </w:rPr>
      </w:pPr>
      <w:r>
        <w:rPr>
          <w:rFonts w:ascii="Arial" w:cs="Arial" w:eastAsia="Arial" w:hAnsi="Arial"/>
          <w:sz w:val="19"/>
          <w:szCs w:val="19"/>
          <w:b w:val="1"/>
          <w:bCs w:val="1"/>
          <w:color w:val="auto"/>
        </w:rPr>
        <w:t>The FDA is authorized to designate certain products for expedited review if they are intended to address an unmet medical need in the treatment of a serious or life-threatening disease or condition.</w:t>
      </w:r>
    </w:p>
    <w:p>
      <w:pPr>
        <w:spacing w:after="0" w:line="118"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b w:val="1"/>
          <w:bCs w:val="1"/>
          <w:color w:val="auto"/>
        </w:rPr>
        <w:t>Fast Track designation may be granted for products that are intended to treat a serious or life-threatening disease or condition for which there is no effective treatment, and preclinical or clinical data demonstrate the potential to address unmet medical needs for the condition. Fast Track designation applies to both the product and the specific indication for which it is being studied. The sponsor of a new biologic candidate can request the FDA to designate the candidate for a specific indication for Fast Track status concurrent with, or after, the submission of the IND for the candidate. The FDA must determine if the biologic candidate qualifies for Fast Track designation within 60 days of receipt of the sponsor’s request. For Fast Track products, sponsors may have greater interactions with the FDA and the FDA may initiate review of sections of a Fast Track product’s BLA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Any product submitted to the FDA for marketing, including under a Fast Track program, may be eligible for other types of FDA programs intended to expedite development and review, such as priority review and accelerated approval.</w:t>
      </w:r>
    </w:p>
    <w:p>
      <w:pPr>
        <w:spacing w:after="0" w:line="10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biologic candidate may request that the FDA designate the candidate for a specific indication as a breakthrough therapy concurrent with, or after, the submission of the IND for the biologic candidate. The FDA must determine if the biological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studies in an efficient manner.</w:t>
      </w:r>
    </w:p>
    <w:p>
      <w:pPr>
        <w:spacing w:after="0" w:line="107" w:lineRule="exact"/>
        <w:rPr>
          <w:sz w:val="20"/>
          <w:szCs w:val="20"/>
          <w:color w:val="auto"/>
        </w:rPr>
      </w:pPr>
    </w:p>
    <w:p>
      <w:pPr>
        <w:ind w:right="260"/>
        <w:spacing w:after="0" w:line="237" w:lineRule="auto"/>
        <w:rPr>
          <w:sz w:val="20"/>
          <w:szCs w:val="20"/>
          <w:color w:val="auto"/>
        </w:rPr>
      </w:pPr>
      <w:r>
        <w:rPr>
          <w:rFonts w:ascii="Arial" w:cs="Arial" w:eastAsia="Arial" w:hAnsi="Arial"/>
          <w:sz w:val="20"/>
          <w:szCs w:val="20"/>
          <w:b w:val="1"/>
          <w:bCs w:val="1"/>
          <w:color w:val="auto"/>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spacing w:after="0" w:line="131" w:lineRule="exact"/>
        <w:rPr>
          <w:sz w:val="20"/>
          <w:szCs w:val="20"/>
          <w:color w:val="auto"/>
        </w:rPr>
      </w:pPr>
    </w:p>
    <w:p>
      <w:pPr>
        <w:ind w:right="40"/>
        <w:spacing w:after="0" w:line="324" w:lineRule="auto"/>
        <w:rPr>
          <w:sz w:val="20"/>
          <w:szCs w:val="20"/>
          <w:color w:val="auto"/>
        </w:rPr>
      </w:pPr>
      <w:r>
        <w:rPr>
          <w:rFonts w:ascii="Arial" w:cs="Arial" w:eastAsia="Arial" w:hAnsi="Arial"/>
          <w:sz w:val="15"/>
          <w:szCs w:val="15"/>
          <w:b w:val="1"/>
          <w:bCs w:val="1"/>
          <w:color w:val="auto"/>
        </w:rPr>
        <w:t>Accelerated approval may be granted for products that are intended to treat a serious or life-threatening condition and that generally provide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a sponsor’s agreement to conduct additional post-approval confirmatory studies to verify and describe the product’s clinical benefit.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11</w:t>
      </w:r>
    </w:p>
    <w:p>
      <w:pPr>
        <w:sectPr>
          <w:pgSz w:w="12240" w:h="15840" w:orient="portrait"/>
          <w:cols w:equalWidth="0" w:num="1">
            <w:col w:w="9700"/>
          </w:cols>
          <w:pgMar w:left="1260" w:top="1089" w:right="1280" w:bottom="181" w:gutter="0" w:footer="0" w:header="0"/>
          <w:type w:val="continuous"/>
        </w:sectPr>
      </w:pPr>
    </w:p>
    <w:bookmarkStart w:id="51" w:name="page52"/>
    <w:bookmarkEnd w:id="51"/>
    <w:p>
      <w:pPr>
        <w:ind w:right="60"/>
        <w:spacing w:after="0" w:line="281" w:lineRule="auto"/>
        <w:rPr>
          <w:sz w:val="20"/>
          <w:szCs w:val="20"/>
          <w:color w:val="auto"/>
        </w:rPr>
      </w:pPr>
      <w:r>
        <w:rPr>
          <w:rFonts w:ascii="Arial" w:cs="Arial" w:eastAsia="Arial" w:hAnsi="Arial"/>
          <w:sz w:val="18"/>
          <w:szCs w:val="18"/>
          <w:b w:val="1"/>
          <w:bCs w:val="1"/>
          <w:color w:val="auto"/>
        </w:rPr>
        <w:t>studies, would allow the FDA to withdraw the product from the market on an expedited basis. All promotional materials for product candidates approved under accelerated regulations are subject to prior review by the FDA.</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Pediatric Information</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7"/>
          <w:szCs w:val="17"/>
          <w:b w:val="1"/>
          <w:bCs w:val="1"/>
          <w:color w:val="auto"/>
        </w:rPr>
        <w:t>Under the Pediatric Research Equity Act, or PREA, BLAs or supplements to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w:t>
      </w:r>
    </w:p>
    <w:p>
      <w:pPr>
        <w:spacing w:after="0" w:line="91"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b w:val="1"/>
          <w:bCs w:val="1"/>
          <w:color w:val="auto"/>
        </w:rPr>
        <w:t>The Best Pharmaceuticals for Children Act, or the BPCA, provides a six-month extension of any exclusivity–patent or non-patent–for a biologic if certain conditions are met. Conditions for exclusivity include the FDA’s determination that information relating to the use of a new biologic in the pediatric population may produce health benefits in that population, FDA making a written request for pediatric studies, and the applicant agreeing to perform, and reporting on, the requested studies within the statutory timeframe. Applications under the BPCA are treated as priority applications, with all the benefits that designation confers.</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Post-Approval Requirements</w:t>
      </w:r>
    </w:p>
    <w:p>
      <w:pPr>
        <w:spacing w:after="0" w:line="131"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b w:val="1"/>
          <w:bCs w:val="1"/>
          <w:color w:val="auto"/>
        </w:rPr>
        <w:t>Once a BLA is approved, a product will be subject to certain post-approval requirements. For instance, the FDA tightly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 manner consistent with the provisions of the approved labeling.</w:t>
      </w:r>
    </w:p>
    <w:p>
      <w:pPr>
        <w:spacing w:after="0" w:line="1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auto"/>
        </w:rPr>
        <w:t>Adverse event reporting and submission of periodic safety summary reports is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 after approval. Biologic manufacturers and certain of their subcontractors are required to register their establishments with the FDA and certain state agencies. The FDA is authorized to conduct periodic unannounced inspections at any establishment where a biologic product is manufactured to assess cGMP compliance. Accordingly, manufacturers must continue to expend time, money and effort in the areas of production and quality-control to maintain compliance with cGMP.</w:t>
      </w:r>
    </w:p>
    <w:p>
      <w:pPr>
        <w:spacing w:after="0" w:line="109"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b w:val="1"/>
          <w:bCs w:val="1"/>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Potential consequences include, among other things:</w:t>
      </w:r>
    </w:p>
    <w:p>
      <w:pPr>
        <w:spacing w:after="0" w:line="116" w:lineRule="exact"/>
        <w:rPr>
          <w:sz w:val="20"/>
          <w:szCs w:val="20"/>
          <w:color w:val="auto"/>
        </w:rPr>
      </w:pPr>
    </w:p>
    <w:p>
      <w:pPr>
        <w:ind w:left="500" w:right="80"/>
        <w:spacing w:after="0" w:line="234" w:lineRule="auto"/>
        <w:rPr>
          <w:sz w:val="20"/>
          <w:szCs w:val="20"/>
          <w:color w:val="auto"/>
        </w:rPr>
      </w:pPr>
      <w:r>
        <w:rPr>
          <w:rFonts w:ascii="Arial" w:cs="Arial" w:eastAsia="Arial" w:hAnsi="Arial"/>
          <w:sz w:val="20"/>
          <w:szCs w:val="20"/>
          <w:b w:val="1"/>
          <w:bCs w:val="1"/>
          <w:color w:val="auto"/>
        </w:rPr>
        <w:t>restrictions on the marketing or manufacturing of the product, suspension of the approval, complete withdrawal of the product from the market or product recalls;</w:t>
      </w:r>
    </w:p>
    <w:p>
      <w:pPr>
        <w:spacing w:after="0" w:line="136"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fines, warnings or other enforcement-related letters or holds on post-approval clinical studies;</w:t>
      </w:r>
    </w:p>
    <w:p>
      <w:pPr>
        <w:spacing w:after="0" w:line="145" w:lineRule="exact"/>
        <w:rPr>
          <w:sz w:val="20"/>
          <w:szCs w:val="20"/>
          <w:color w:val="auto"/>
        </w:rPr>
      </w:pPr>
    </w:p>
    <w:p>
      <w:pPr>
        <w:ind w:left="500" w:right="260"/>
        <w:spacing w:after="0" w:line="234" w:lineRule="auto"/>
        <w:rPr>
          <w:sz w:val="20"/>
          <w:szCs w:val="20"/>
          <w:color w:val="auto"/>
        </w:rPr>
      </w:pPr>
      <w:r>
        <w:rPr>
          <w:rFonts w:ascii="Arial" w:cs="Arial" w:eastAsia="Arial" w:hAnsi="Arial"/>
          <w:sz w:val="20"/>
          <w:szCs w:val="20"/>
          <w:b w:val="1"/>
          <w:bCs w:val="1"/>
          <w:color w:val="auto"/>
        </w:rPr>
        <w:t>refusal of the FDA to approve pending BLAs or supplements to approved BLAs, or suspension or revocation of product license approvals;</w:t>
      </w:r>
    </w:p>
    <w:p>
      <w:pPr>
        <w:spacing w:after="0" w:line="144" w:lineRule="exact"/>
        <w:rPr>
          <w:sz w:val="20"/>
          <w:szCs w:val="20"/>
          <w:color w:val="auto"/>
        </w:rPr>
      </w:pPr>
    </w:p>
    <w:p>
      <w:pPr>
        <w:ind w:left="500" w:right="2440"/>
        <w:spacing w:after="0" w:line="401" w:lineRule="auto"/>
        <w:rPr>
          <w:sz w:val="20"/>
          <w:szCs w:val="20"/>
          <w:color w:val="auto"/>
        </w:rPr>
      </w:pPr>
      <w:r>
        <w:rPr>
          <w:rFonts w:ascii="Arial" w:cs="Arial" w:eastAsia="Arial" w:hAnsi="Arial"/>
          <w:sz w:val="19"/>
          <w:szCs w:val="19"/>
          <w:b w:val="1"/>
          <w:bCs w:val="1"/>
          <w:color w:val="auto"/>
        </w:rPr>
        <w:t>product seizure or detention, or refusal to permit the import or export of products; or injunctions or the imposition of civil or criminal penalties.</w:t>
      </w:r>
    </w:p>
    <w:p>
      <w:pPr>
        <w:spacing w:after="0" w:line="237" w:lineRule="auto"/>
        <w:rPr>
          <w:sz w:val="20"/>
          <w:szCs w:val="20"/>
          <w:color w:val="auto"/>
        </w:rPr>
      </w:pPr>
      <w:r>
        <w:rPr>
          <w:rFonts w:ascii="Arial" w:cs="Arial" w:eastAsia="Arial" w:hAnsi="Arial"/>
          <w:sz w:val="20"/>
          <w:szCs w:val="20"/>
          <w:b w:val="1"/>
          <w:bCs w:val="1"/>
          <w:color w:val="auto"/>
        </w:rPr>
        <w:t>U.S. Patent Term Restoration and Marketing Exclusivity</w:t>
      </w:r>
    </w:p>
    <w:p>
      <w:pPr>
        <w:spacing w:after="0" w:line="131" w:lineRule="exact"/>
        <w:rPr>
          <w:sz w:val="20"/>
          <w:szCs w:val="20"/>
          <w:color w:val="auto"/>
        </w:rPr>
      </w:pPr>
    </w:p>
    <w:p>
      <w:pPr>
        <w:ind w:right="20"/>
        <w:spacing w:after="0" w:line="297" w:lineRule="auto"/>
        <w:rPr>
          <w:sz w:val="20"/>
          <w:szCs w:val="20"/>
          <w:color w:val="auto"/>
        </w:rPr>
      </w:pPr>
      <w:r>
        <w:rPr>
          <w:rFonts w:ascii="Arial" w:cs="Arial" w:eastAsia="Arial" w:hAnsi="Arial"/>
          <w:sz w:val="17"/>
          <w:szCs w:val="17"/>
          <w:b w:val="1"/>
          <w:bCs w:val="1"/>
          <w:color w:val="auto"/>
        </w:rPr>
        <w:t>Depending upon the timing, duration, and specifics of FDA approval of our product candidates, some of our U.S. patents may be eligible for limited patent term extension under the Hatch Waxman Amendments. The Hatch Waxman Amendments permit a patent term extension of up to five years as compensation for patent term lost during the FDA</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12</w:t>
      </w:r>
    </w:p>
    <w:p>
      <w:pPr>
        <w:sectPr>
          <w:pgSz w:w="12240" w:h="15840" w:orient="portrait"/>
          <w:cols w:equalWidth="0" w:num="1">
            <w:col w:w="9700"/>
          </w:cols>
          <w:pgMar w:left="1260" w:top="1089" w:right="1280" w:bottom="181" w:gutter="0" w:footer="0" w:header="0"/>
          <w:type w:val="continuous"/>
        </w:sectPr>
      </w:pPr>
    </w:p>
    <w:bookmarkStart w:id="52" w:name="page53"/>
    <w:bookmarkEnd w:id="52"/>
    <w:p>
      <w:pPr>
        <w:spacing w:after="0" w:line="284" w:lineRule="auto"/>
        <w:rPr>
          <w:sz w:val="20"/>
          <w:szCs w:val="20"/>
          <w:color w:val="auto"/>
        </w:rPr>
      </w:pPr>
      <w:r>
        <w:rPr>
          <w:rFonts w:ascii="Arial" w:cs="Arial" w:eastAsia="Arial" w:hAnsi="Arial"/>
          <w:sz w:val="17"/>
          <w:szCs w:val="17"/>
          <w:b w:val="1"/>
          <w:bCs w:val="1"/>
          <w:color w:val="auto"/>
        </w:rPr>
        <w:t>regulatory review process. Patent term extension, however, cannot extend the remaining term of a patent beyond a total of 14 years from the product’s approval date. The patent term extension period is generally one half the time between the effective date of an IND and the submission date of a BLA, plus the time between the submission date of a BLA and the approval of that application, except that the review period is reduced by any time during which the applicant failed to exercise due diligence. Only one patent applicable to an approved drug is eligible for such an extension, only those claims covering the approved drug, a method for using it, or a method for manufacturing it may be extended and the application for the extension must be submitted prior to the expiration of the patent. The USPTO, in consultation with the FDA, reviews and approves the application for any patent term extension or restoration. Similar provisions are available in Europe and other foreign jurisdictions to extend the term of a patent that covers an approved drug. In the future, we or our licensors may apply for patent term extension for our owned or licensed patents to add patent life beyond their current expiration date, depending on the expected length of the clinical trials and other factors involved in the filing of the relevant BLA. However, an extension might not be granted because of, for example, our or our licensors’ failure to exercise due diligence during the testing phase or regulatory review process, failure to apply within applicable deadlines, failure to apply prior to expiration of relevant patents or any other failure to satisfy applicable requirements. Moreover, the applicable time period or the scope of patent protection afforded could be less than requested. There is no guarantee that the applicable authorities, including the FDA in the United States, will agree with our assessment of whether any extensions should be granted, and if granted, the length of such extensions.</w:t>
      </w:r>
    </w:p>
    <w:p>
      <w:pPr>
        <w:spacing w:after="0" w:line="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color w:val="auto"/>
        </w:rPr>
        <w:t>The Biologics Price Competition and Innovation Act of 2009, or the BPCIA, created an abbreviated approval pathway for biological products shown to be biosimilar to, or interchangeable with, an FDA-licensed reference biological product. Biosimilarity, which requires that the biological product be highly similar to the reference product notwithstanding minor differences in clinically inactive components, and that there be no clinically meaningful differences between the biological product and the reference product in terms of safety, purity, and potency, can be shown through analytical studies, animal studies and a clinical trial or trials.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w:t>
      </w:r>
    </w:p>
    <w:p>
      <w:pPr>
        <w:spacing w:after="0" w:line="107"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b w:val="1"/>
          <w:bCs w:val="1"/>
          <w:color w:val="auto"/>
        </w:rPr>
        <w:t>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Regulation</w:t>
      </w:r>
    </w:p>
    <w:p>
      <w:pPr>
        <w:spacing w:after="0" w:line="131"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b w:val="1"/>
          <w:bCs w:val="1"/>
          <w:color w:val="auto"/>
        </w:rPr>
        <w:t>In addition to regulations in the United States and Europe, a variety of foreign regulations, including in Australia, South Korea and Taiwan, govern clinical trials, commercial sales, privacy and security of health information, and distribution of product candidates. The approval process varies from country to country and the time to approval may be longer or shorter than that required for FDA approval. The ability to conduct clinical trials or obtain commercial approval in one jurisdiction does not guarantee the ability to do so in other jurisdictions.</w:t>
      </w:r>
    </w:p>
    <w:p>
      <w:pPr>
        <w:spacing w:after="0" w:line="89" w:lineRule="exact"/>
        <w:rPr>
          <w:sz w:val="20"/>
          <w:szCs w:val="20"/>
          <w:color w:val="auto"/>
        </w:rPr>
      </w:pPr>
    </w:p>
    <w:p>
      <w:pPr>
        <w:ind w:right="3800"/>
        <w:spacing w:after="0" w:line="354" w:lineRule="auto"/>
        <w:rPr>
          <w:sz w:val="20"/>
          <w:szCs w:val="20"/>
          <w:color w:val="auto"/>
        </w:rPr>
      </w:pPr>
      <w:r>
        <w:rPr>
          <w:rFonts w:ascii="Arial" w:cs="Arial" w:eastAsia="Arial" w:hAnsi="Arial"/>
          <w:sz w:val="20"/>
          <w:szCs w:val="20"/>
          <w:b w:val="1"/>
          <w:bCs w:val="1"/>
          <w:color w:val="auto"/>
        </w:rPr>
        <w:t>Other U.S. Healthcare Laws and Regulations and Legislative Reform U.S. Healthcare and Privacy Laws and Regulations</w:t>
      </w:r>
    </w:p>
    <w:p>
      <w:pPr>
        <w:spacing w:after="0" w:line="22" w:lineRule="exact"/>
        <w:rPr>
          <w:sz w:val="20"/>
          <w:szCs w:val="20"/>
          <w:color w:val="auto"/>
        </w:rPr>
      </w:pPr>
    </w:p>
    <w:p>
      <w:pPr>
        <w:ind w:right="40"/>
        <w:spacing w:after="0" w:line="336" w:lineRule="auto"/>
        <w:rPr>
          <w:sz w:val="20"/>
          <w:szCs w:val="20"/>
          <w:color w:val="auto"/>
        </w:rPr>
      </w:pPr>
      <w:r>
        <w:rPr>
          <w:rFonts w:ascii="Arial" w:cs="Arial" w:eastAsia="Arial" w:hAnsi="Arial"/>
          <w:sz w:val="15"/>
          <w:szCs w:val="15"/>
          <w:b w:val="1"/>
          <w:bCs w:val="1"/>
          <w:color w:val="auto"/>
        </w:rPr>
        <w:t>Healthcare providers and third-party payors will play a primary role in the recommendation and prescription of any product candidates for which we obtain marketing approval. Our operations, including any arrangements with healthcare providers, third-party payors and customers may expose us to broadly applicable fraud and abuse and other healthcare laws that may affect the business or financial arrangements and relationships through which we would market, sell, and distribute our products. The U.S. healthcare laws that may affect our ability to operate include, but are not limited to:</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13</w:t>
      </w:r>
    </w:p>
    <w:p>
      <w:pPr>
        <w:sectPr>
          <w:pgSz w:w="12240" w:h="15840" w:orient="portrait"/>
          <w:cols w:equalWidth="0" w:num="1">
            <w:col w:w="9700"/>
          </w:cols>
          <w:pgMar w:left="1260" w:top="1089" w:right="1280" w:bottom="181" w:gutter="0" w:footer="0" w:header="0"/>
          <w:type w:val="continuous"/>
        </w:sectPr>
      </w:pPr>
    </w:p>
    <w:bookmarkStart w:id="53" w:name="page54"/>
    <w:bookmarkEnd w:id="53"/>
    <w:p>
      <w:pPr>
        <w:ind w:left="500" w:right="40"/>
        <w:spacing w:after="0" w:line="252" w:lineRule="auto"/>
        <w:rPr>
          <w:sz w:val="20"/>
          <w:szCs w:val="20"/>
          <w:color w:val="auto"/>
        </w:rPr>
      </w:pPr>
      <w:r>
        <w:rPr>
          <w:rFonts w:ascii="Arial" w:cs="Arial" w:eastAsia="Arial" w:hAnsi="Arial"/>
          <w:sz w:val="19"/>
          <w:szCs w:val="19"/>
          <w:b w:val="1"/>
          <w:bCs w:val="1"/>
          <w:color w:val="auto"/>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w:t>
      </w:r>
    </w:p>
    <w:p>
      <w:pPr>
        <w:spacing w:after="0" w:line="136" w:lineRule="exact"/>
        <w:rPr>
          <w:sz w:val="20"/>
          <w:szCs w:val="20"/>
          <w:color w:val="auto"/>
        </w:rPr>
      </w:pPr>
    </w:p>
    <w:p>
      <w:pPr>
        <w:ind w:left="500"/>
        <w:spacing w:after="0" w:line="252" w:lineRule="auto"/>
        <w:rPr>
          <w:sz w:val="20"/>
          <w:szCs w:val="20"/>
          <w:color w:val="auto"/>
        </w:rPr>
      </w:pPr>
      <w:r>
        <w:rPr>
          <w:rFonts w:ascii="Arial" w:cs="Arial" w:eastAsia="Arial" w:hAnsi="Arial"/>
          <w:sz w:val="19"/>
          <w:szCs w:val="19"/>
          <w:b w:val="1"/>
          <w:bCs w:val="1"/>
          <w:color w:val="auto"/>
        </w:rPr>
        <w:t>Federal civil and criminal false claims laws, such as the Federal False Claims Act, which can be enforced by private citizens through civil qui tam actions, and civil monetary penalty laws prohibit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w:t>
      </w:r>
    </w:p>
    <w:p>
      <w:pPr>
        <w:spacing w:after="0" w:line="137" w:lineRule="exact"/>
        <w:rPr>
          <w:sz w:val="20"/>
          <w:szCs w:val="20"/>
          <w:color w:val="auto"/>
        </w:rPr>
      </w:pPr>
    </w:p>
    <w:p>
      <w:pPr>
        <w:ind w:left="500" w:right="240"/>
        <w:spacing w:after="0" w:line="291" w:lineRule="auto"/>
        <w:rPr>
          <w:sz w:val="20"/>
          <w:szCs w:val="20"/>
          <w:color w:val="auto"/>
        </w:rPr>
      </w:pPr>
      <w:r>
        <w:rPr>
          <w:rFonts w:ascii="Arial" w:cs="Arial" w:eastAsia="Arial" w:hAnsi="Arial"/>
          <w:sz w:val="17"/>
          <w:szCs w:val="17"/>
          <w:b w:val="1"/>
          <w:bCs w:val="1"/>
          <w:color w:val="auto"/>
        </w:rPr>
        <w:t>The Health Insurance Portability and Accountability Act, or HIPAA, among other things, imposes criminal liability for executing or attempting to execute a scheme to defraud any healthcare benefit program, including private third-party payors, knowingly and willfully embezzling or stealing from a healthcare benefit program or making any materially false, fictitious or fraudulent statement to a healthcare benefits program.</w:t>
      </w:r>
    </w:p>
    <w:p>
      <w:pPr>
        <w:spacing w:after="0" w:line="105" w:lineRule="exact"/>
        <w:rPr>
          <w:sz w:val="20"/>
          <w:szCs w:val="20"/>
          <w:color w:val="auto"/>
        </w:rPr>
      </w:pPr>
    </w:p>
    <w:p>
      <w:pPr>
        <w:ind w:left="500" w:right="360"/>
        <w:spacing w:after="0" w:line="253" w:lineRule="auto"/>
        <w:rPr>
          <w:sz w:val="20"/>
          <w:szCs w:val="20"/>
          <w:color w:val="auto"/>
        </w:rPr>
      </w:pPr>
      <w:r>
        <w:rPr>
          <w:rFonts w:ascii="Arial" w:cs="Arial" w:eastAsia="Arial" w:hAnsi="Arial"/>
          <w:sz w:val="19"/>
          <w:szCs w:val="19"/>
          <w:b w:val="1"/>
          <w:bCs w:val="1"/>
          <w:color w:val="auto"/>
        </w:rPr>
        <w:t>HIPAA, as amended by the Health Information Technology for Economic and Clinical Health Act of 2009, or HITECH, which impose obligations with respect to individually identifiable health information upon covered entities (including health plans, healthcare clearinghouses and certain healthcare providers), their respective business associates and their covered subcontractors that perform services for them that involve individually identifiable health information.</w:t>
      </w:r>
    </w:p>
    <w:p>
      <w:pPr>
        <w:spacing w:after="0" w:line="132" w:lineRule="exact"/>
        <w:rPr>
          <w:sz w:val="20"/>
          <w:szCs w:val="20"/>
          <w:color w:val="auto"/>
        </w:rPr>
      </w:pPr>
    </w:p>
    <w:p>
      <w:pPr>
        <w:ind w:left="500" w:right="100"/>
        <w:spacing w:after="0" w:line="234" w:lineRule="auto"/>
        <w:rPr>
          <w:sz w:val="20"/>
          <w:szCs w:val="20"/>
          <w:color w:val="auto"/>
        </w:rPr>
      </w:pPr>
      <w:r>
        <w:rPr>
          <w:rFonts w:ascii="Arial" w:cs="Arial" w:eastAsia="Arial" w:hAnsi="Arial"/>
          <w:sz w:val="20"/>
          <w:szCs w:val="20"/>
          <w:b w:val="1"/>
          <w:bCs w:val="1"/>
          <w:color w:val="auto"/>
        </w:rPr>
        <w:t>Federal and state consumer protection and unfair competition laws, which broadly regulate marketplace activities and activities that potentially harm consumers.</w:t>
      </w:r>
    </w:p>
    <w:p>
      <w:pPr>
        <w:spacing w:after="0" w:line="146" w:lineRule="exact"/>
        <w:rPr>
          <w:sz w:val="20"/>
          <w:szCs w:val="20"/>
          <w:color w:val="auto"/>
        </w:rPr>
      </w:pPr>
    </w:p>
    <w:p>
      <w:pPr>
        <w:ind w:left="500" w:right="60"/>
        <w:spacing w:after="0" w:line="329" w:lineRule="auto"/>
        <w:rPr>
          <w:sz w:val="20"/>
          <w:szCs w:val="20"/>
          <w:color w:val="auto"/>
        </w:rPr>
      </w:pPr>
      <w:r>
        <w:rPr>
          <w:rFonts w:ascii="Arial" w:cs="Arial" w:eastAsia="Arial" w:hAnsi="Arial"/>
          <w:sz w:val="15"/>
          <w:szCs w:val="15"/>
          <w:b w:val="1"/>
          <w:bCs w:val="1"/>
          <w:color w:val="auto"/>
        </w:rPr>
        <w:t>The federal transparency requirements under the Physician Payments Sunshine Act, created under the Patient Protection and Affordable Care Act, as amended by the Health Care Education and Reconciliation Act, or collectively the ACA, which requires, among other things, certain manufacturers of drugs, devices, biologics and medical supplies reimbursed under Medicare, Medicaid, or the Children’s Health Insurance Program to report annually to the Centers for Medicare &amp; Medicaid Services, or CMS, information related to payments and other transfers of value provided to physicians, (defined to include doctors, dentists, optometrists, podiatrists and chiropractors), other healthcare professionals (such as physician assistants and nurse practitioners), and teaching hospitals and certain ownership and investment interests held by physicians and their immediate family members.</w:t>
      </w:r>
    </w:p>
    <w:p>
      <w:pPr>
        <w:spacing w:after="0" w:line="83" w:lineRule="exact"/>
        <w:rPr>
          <w:sz w:val="20"/>
          <w:szCs w:val="20"/>
          <w:color w:val="auto"/>
        </w:rPr>
      </w:pPr>
    </w:p>
    <w:p>
      <w:pPr>
        <w:ind w:left="500" w:right="40"/>
        <w:spacing w:after="0" w:line="252" w:lineRule="auto"/>
        <w:rPr>
          <w:sz w:val="20"/>
          <w:szCs w:val="20"/>
          <w:color w:val="auto"/>
        </w:rPr>
      </w:pPr>
      <w:r>
        <w:rPr>
          <w:rFonts w:ascii="Arial" w:cs="Arial" w:eastAsia="Arial" w:hAnsi="Arial"/>
          <w:sz w:val="19"/>
          <w:szCs w:val="19"/>
          <w:b w:val="1"/>
          <w:bCs w:val="1"/>
          <w:color w:val="auto"/>
        </w:rPr>
        <w:t>State and foreign laws that are analogous to each of the above federal laws, such as anti-kickback and false claims laws, that may impose similar or more prohibitive restrictions, and may apply to items or services reimbursed by non-governmental third-party payors, including private insurers.</w:t>
      </w:r>
    </w:p>
    <w:p>
      <w:pPr>
        <w:spacing w:after="0" w:line="134" w:lineRule="exact"/>
        <w:rPr>
          <w:sz w:val="20"/>
          <w:szCs w:val="20"/>
          <w:color w:val="auto"/>
        </w:rPr>
      </w:pPr>
    </w:p>
    <w:p>
      <w:pPr>
        <w:ind w:left="500" w:right="20"/>
        <w:spacing w:after="0" w:line="288" w:lineRule="auto"/>
        <w:rPr>
          <w:sz w:val="20"/>
          <w:szCs w:val="20"/>
          <w:color w:val="auto"/>
        </w:rPr>
      </w:pPr>
      <w:r>
        <w:rPr>
          <w:rFonts w:ascii="Arial" w:cs="Arial" w:eastAsia="Arial" w:hAnsi="Arial"/>
          <w:sz w:val="17"/>
          <w:szCs w:val="17"/>
          <w:b w:val="1"/>
          <w:bCs w:val="1"/>
          <w:color w:val="auto"/>
        </w:rPr>
        <w:t>State laws that require pharmaceutical companies to obtain certain regulatory licenses to manufacture or distribute pharmaceutical products commercially and/or the registration of pharmaceutical sales representatives in the jurisdiction; implement compliance programs, comply with certain compliance guidelines, or to track and report payments and other remuneration provided to healthcare providers; state laws that require the reporting of marketing expenditures or drug pricing; state laws that prohibit various marketing-related activities; and other federal, state laws that govern the privacy and security of health information.</w:t>
      </w:r>
    </w:p>
    <w:p>
      <w:pPr>
        <w:spacing w:after="0" w:line="11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color w:val="auto"/>
        </w:rPr>
        <w:t>If our operations are found to be in violation of any of these laws or any other current or future healthcare laws that may apply to us, we may be subject to significant civil, criminal and administrative penalties, damages, fines, disgorgement, imprisonment, exclusion from government funded healthcare programs, such as Medicare and Medicaid, contractual damages, reputational harm, diminished profits and future earnings, additional reporting and oversight obligations, and the curtailment or restructuring of our operations. Although effective compliance programs can mitigate the risk of investigation and prosecution for violations of these laws, these risks cannot be entirely eliminated. In addition, if any physicians or healthcare providers or entities with whom we expect to do business is found not to be in compliance with applicable laws, they may be subject to significant criminal, civil or administrative sanctions, including exclusions from government funded healthcare programs.</w:t>
      </w:r>
    </w:p>
    <w:p>
      <w:pPr>
        <w:sectPr>
          <w:pgSz w:w="12240" w:h="15840" w:orient="portrait"/>
          <w:cols w:equalWidth="0" w:num="1">
            <w:col w:w="9660"/>
          </w:cols>
          <w:pgMar w:left="1260" w:top="1081" w:right="132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14</w:t>
      </w:r>
    </w:p>
    <w:p>
      <w:pPr>
        <w:sectPr>
          <w:pgSz w:w="12240" w:h="15840" w:orient="portrait"/>
          <w:cols w:equalWidth="0" w:num="1">
            <w:col w:w="9660"/>
          </w:cols>
          <w:pgMar w:left="1260" w:top="1081" w:right="1320" w:bottom="181" w:gutter="0" w:footer="0" w:header="0"/>
          <w:type w:val="continuous"/>
        </w:sectPr>
      </w:pPr>
    </w:p>
    <w:bookmarkStart w:id="54" w:name="page55"/>
    <w:bookmarkEnd w:id="54"/>
    <w:p>
      <w:pPr>
        <w:spacing w:after="0"/>
        <w:rPr>
          <w:sz w:val="20"/>
          <w:szCs w:val="20"/>
          <w:color w:val="auto"/>
        </w:rPr>
      </w:pPr>
      <w:r>
        <w:rPr>
          <w:rFonts w:ascii="Arial" w:cs="Arial" w:eastAsia="Arial" w:hAnsi="Arial"/>
          <w:sz w:val="20"/>
          <w:szCs w:val="20"/>
          <w:b w:val="1"/>
          <w:bCs w:val="1"/>
          <w:color w:val="auto"/>
        </w:rPr>
        <w:t>Legislative Reform</w:t>
      </w:r>
    </w:p>
    <w:p>
      <w:pPr>
        <w:spacing w:after="0" w:line="13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color w:val="auto"/>
        </w:rPr>
        <w:t>We operate in a highly regulated industry, and new laws, regulations and judicial decisions, or new interpretations of existing laws, regulations, and decisions, related to healthcare availability, the method of delivery and payment for healthcare products and services could negatively affect our business, financial condition, and prospects. There is significant interest in promoting healthcare reforms, and it is likely that federal and state legislatures within the United States and the governments of other countries will continue to consider changes to existing healthcare legislation. For example, the U.S. and state governments continue to propose and pass legislation designed to reduce the cost of healthcare. In 2010, the ACA was enacted which included changes to the coverage and reimbursement of drug products under government healthcare programs.</w:t>
      </w:r>
    </w:p>
    <w:p>
      <w:pPr>
        <w:spacing w:after="0" w:line="9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color w:val="auto"/>
        </w:rPr>
        <w:t>While there have been executive judicial and congressional challenges to the ACA, several bills affecting the implementation of certain taxes under the ACA have been signed into law.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It is possible that the ACA will be subject to judicial and congressional challenges in the future. It is unclear how such challenges and the healthcare reform measures of the Biden administration will impact the ACA.</w:t>
      </w:r>
    </w:p>
    <w:p>
      <w:pPr>
        <w:spacing w:after="0" w:line="10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color w:val="auto"/>
        </w:rPr>
        <w:t>In addition, there have been and continue to be a number of initiatives at the United States federal and state levels that seek to reduce healthcare costs. In 2011, the U.S. Congress enacted the Budget Control Act, which included provisions intended to reduce the federal deficit. The Budget Control Act resulted in the imposition of 2% reductions in Medicare payments to providers beginning in 2013 and, due to subsequent legislative amendments to the statute, will remain in effect until 2032 unless additional congressional action is taken. In 2012, the U.S. Congress enacted the American Taxpayer Relief Act,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97"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color w:val="auto"/>
        </w:rPr>
        <w:t>The current administration is pursuing policies to reduce regulations and expenditures across government agencies including at the U.S. Department of Health and Human Services, or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pharmaceutical companies that require the drug manufacturers to offer, through a direct-to-consumer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in Loper Bright Enterprises v. Raimondo, the U.S.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ectPr>
          <w:pgSz w:w="12240" w:h="15840" w:orient="portrait"/>
          <w:cols w:equalWidth="0" w:num="1">
            <w:col w:w="9700"/>
          </w:cols>
          <w:pgMar w:left="1260" w:top="107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15</w:t>
      </w:r>
    </w:p>
    <w:p>
      <w:pPr>
        <w:sectPr>
          <w:pgSz w:w="12240" w:h="15840" w:orient="portrait"/>
          <w:cols w:equalWidth="0" w:num="1">
            <w:col w:w="9700"/>
          </w:cols>
          <w:pgMar w:left="1260" w:top="1079" w:right="1280" w:bottom="181" w:gutter="0" w:footer="0" w:header="0"/>
          <w:type w:val="continuous"/>
        </w:sectPr>
      </w:pPr>
    </w:p>
    <w:bookmarkStart w:id="55" w:name="page56"/>
    <w:bookmarkEnd w:id="55"/>
    <w:p>
      <w:pPr>
        <w:spacing w:after="0" w:line="287" w:lineRule="auto"/>
        <w:rPr>
          <w:sz w:val="20"/>
          <w:szCs w:val="20"/>
          <w:color w:val="auto"/>
        </w:rPr>
      </w:pPr>
      <w:r>
        <w:rPr>
          <w:rFonts w:ascii="Arial" w:cs="Arial" w:eastAsia="Arial" w:hAnsi="Arial"/>
          <w:sz w:val="17"/>
          <w:szCs w:val="17"/>
          <w:b w:val="1"/>
          <w:bCs w:val="1"/>
          <w:color w:val="auto"/>
        </w:rPr>
        <w:t>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Health and Safety Laws and Regulations</w:t>
      </w:r>
    </w:p>
    <w:p>
      <w:pPr>
        <w:spacing w:after="0" w:line="129"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b w:val="1"/>
          <w:bCs w:val="1"/>
          <w:color w:val="auto"/>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Our product candidates use PBDs, which are highly potent cytotoxins that require special handling by our and our contractors' staff. In the event of contamination, injury, or failure to comply with environmental, health and safety laws and regulations, we could be held liable for any resulting damages, fines and penalties associated with such liability could exceed our assets and resources. Environmental, health and safety laws and regulations are becoming increasingly more stringent. We may incur substantial costs in order to comply with current or future environmental, health and safety laws and regulations.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Pharmaceutical Coverage, Pricing and Reimbursement</w:t>
      </w:r>
    </w:p>
    <w:p>
      <w:pPr>
        <w:spacing w:after="0" w:line="129"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b w:val="1"/>
          <w:bCs w:val="1"/>
          <w:color w:val="auto"/>
        </w:rPr>
        <w:t>The availability and extent of coverage and adequate reimbursement by governmental and private third-party payors are essential for most patients to be able to afford expensive medical treatments. In both domestic and foreign markets, sales of our product candidates will depend substantially on the extent to which the costs of our product candidates will be covered by third-party payors, such as government health programs, commercial insurance, and managed healthcare organizations. These third-party payors decide which products will be covered and establish reimbursement levels for those products.</w:t>
      </w:r>
    </w:p>
    <w:p>
      <w:pPr>
        <w:spacing w:after="0" w:line="118" w:lineRule="exact"/>
        <w:rPr>
          <w:sz w:val="20"/>
          <w:szCs w:val="20"/>
          <w:color w:val="auto"/>
        </w:rPr>
      </w:pPr>
    </w:p>
    <w:p>
      <w:pPr>
        <w:ind w:right="400"/>
        <w:spacing w:after="0" w:line="234" w:lineRule="auto"/>
        <w:rPr>
          <w:sz w:val="20"/>
          <w:szCs w:val="20"/>
          <w:color w:val="auto"/>
        </w:rPr>
      </w:pPr>
      <w:r>
        <w:rPr>
          <w:rFonts w:ascii="Arial" w:cs="Arial" w:eastAsia="Arial" w:hAnsi="Arial"/>
          <w:sz w:val="20"/>
          <w:szCs w:val="20"/>
          <w:b w:val="1"/>
          <w:bCs w:val="1"/>
          <w:color w:val="auto"/>
        </w:rPr>
        <w:t>Coverage and reimbursement by a third-party payor may depend upon a number of factors, including the third-party payor’s determination that use of a product is:</w:t>
      </w:r>
    </w:p>
    <w:p>
      <w:pPr>
        <w:spacing w:after="0" w:line="124" w:lineRule="exact"/>
        <w:rPr>
          <w:sz w:val="20"/>
          <w:szCs w:val="20"/>
          <w:color w:val="auto"/>
        </w:rPr>
      </w:pPr>
    </w:p>
    <w:p>
      <w:pPr>
        <w:ind w:left="500" w:right="6020"/>
        <w:spacing w:after="0" w:line="507" w:lineRule="auto"/>
        <w:rPr>
          <w:sz w:val="20"/>
          <w:szCs w:val="20"/>
          <w:color w:val="auto"/>
        </w:rPr>
      </w:pPr>
      <w:r>
        <w:rPr>
          <w:rFonts w:ascii="Arial" w:cs="Arial" w:eastAsia="Arial" w:hAnsi="Arial"/>
          <w:sz w:val="15"/>
          <w:szCs w:val="15"/>
          <w:b w:val="1"/>
          <w:bCs w:val="1"/>
          <w:color w:val="auto"/>
        </w:rPr>
        <w:t>a covered benefit under its health plan; safe, effective and medically necessary; appropriate for the specific patient;</w:t>
      </w:r>
    </w:p>
    <w:p>
      <w:pPr>
        <w:ind w:left="140"/>
        <w:spacing w:after="0"/>
        <w:rPr>
          <w:sz w:val="20"/>
          <w:szCs w:val="20"/>
          <w:color w:val="auto"/>
        </w:rPr>
      </w:pPr>
      <w:r>
        <w:rPr>
          <w:rFonts w:ascii="Arial" w:cs="Arial" w:eastAsia="Arial" w:hAnsi="Arial"/>
          <w:sz w:val="20"/>
          <w:szCs w:val="20"/>
          <w:b w:val="1"/>
          <w:bCs w:val="1"/>
          <w:color w:val="auto"/>
        </w:rPr>
        <w:t>cost-effective; and</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neither experimental nor investigational.</w:t>
      </w:r>
    </w:p>
    <w:p>
      <w:pPr>
        <w:spacing w:after="0" w:line="15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color w:val="auto"/>
        </w:rPr>
        <w:t>Obtaining coverage approval and reimbursement for a product from a government or other third-party payor is a time-consuming and costly process that could require us to provide supporting scientific, clinical and cost-effectiveness data for the use of our products to the payor. We may not be able to provide data sufficient to gain acceptance with respect to coverage and reimbursement at a satisfactory level. If coverage and adequate reimbursement of our future products, if any, are unavailable or limited in scope or amount, such as may result where alternative or generic treatments are available, we may be unable to achieve or sustain profitability. Adverse coverage and reimbursement limitations may hinder our ability to recoup our investment in our product candidates, even if such product candidates obtain regulatory approval.</w:t>
      </w:r>
    </w:p>
    <w:p>
      <w:pPr>
        <w:spacing w:after="0" w:line="112" w:lineRule="exact"/>
        <w:rPr>
          <w:sz w:val="20"/>
          <w:szCs w:val="20"/>
          <w:color w:val="auto"/>
        </w:rPr>
      </w:pPr>
    </w:p>
    <w:p>
      <w:pPr>
        <w:ind w:right="80"/>
        <w:spacing w:after="0" w:line="327" w:lineRule="auto"/>
        <w:rPr>
          <w:sz w:val="20"/>
          <w:szCs w:val="20"/>
          <w:color w:val="auto"/>
        </w:rPr>
      </w:pPr>
      <w:r>
        <w:rPr>
          <w:rFonts w:ascii="Arial" w:cs="Arial" w:eastAsia="Arial" w:hAnsi="Arial"/>
          <w:sz w:val="15"/>
          <w:szCs w:val="15"/>
          <w:b w:val="1"/>
          <w:bCs w:val="1"/>
          <w:color w:val="auto"/>
        </w:rPr>
        <w:t>There is significant uncertainty related to the insurance coverage and reimbursement of newly approved products. There is no uniform policy for coverage and reimbursement in the United States and, coverage and reimbursement can differ significantly from payor to payor. In the United States, the principal decisions about reimbursement for new medicines are typically made by CMS, which decides whether and to what extent a new medicine will be covered and reimbursed under Medicare. Private payors often, but not always, follow the CMS’ decisions regarding coverage and reimbursement. It is difficult to predict what third-party payors will decide with respect to coverage and reimbursement for fundamentally novel products such as ours, as there is no body of established practices and precedents for these new products. Further, one payor’s determination to provide coverage and adequate reimbursement for a product does not assure that other payors will also provide coverage and adequate reimbursement for that product. We may need to conduct expensive pharmaco-economic studies to demonstrate the medical necessity and cost-effectiveness of our product candidates. There can be no assurance that our product candidates will be considered medically necessary or</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16</w:t>
      </w:r>
    </w:p>
    <w:p>
      <w:pPr>
        <w:sectPr>
          <w:pgSz w:w="12240" w:h="15840" w:orient="portrait"/>
          <w:cols w:equalWidth="0" w:num="1">
            <w:col w:w="9700"/>
          </w:cols>
          <w:pgMar w:left="1260" w:top="1089" w:right="1280" w:bottom="181" w:gutter="0" w:footer="0" w:header="0"/>
          <w:type w:val="continuous"/>
        </w:sectPr>
      </w:pPr>
    </w:p>
    <w:bookmarkStart w:id="56" w:name="page57"/>
    <w:bookmarkEnd w:id="56"/>
    <w:p>
      <w:pPr>
        <w:ind w:right="60"/>
        <w:spacing w:after="0" w:line="270" w:lineRule="auto"/>
        <w:rPr>
          <w:sz w:val="20"/>
          <w:szCs w:val="20"/>
          <w:color w:val="auto"/>
        </w:rPr>
      </w:pPr>
      <w:r>
        <w:rPr>
          <w:rFonts w:ascii="Arial" w:cs="Arial" w:eastAsia="Arial" w:hAnsi="Arial"/>
          <w:sz w:val="18"/>
          <w:szCs w:val="18"/>
          <w:b w:val="1"/>
          <w:bCs w:val="1"/>
          <w:color w:val="auto"/>
        </w:rPr>
        <w:t>cost-effective. In addition to third-party payors, professional organizations and patient advocacy groups such as the National Comprehensive Cancer Network and the American Society of Clinical Oncology can influence decisions about reimbursement for new medicines by determining standards for care. Therefore, it is possible that any of our product candidates, even if approved, may not be covered by third-party payors or the reimbursement limit may be so restrictive that we cannot commercialize the product candidates profitably.</w:t>
      </w:r>
    </w:p>
    <w:p>
      <w:pPr>
        <w:spacing w:after="0" w:line="105"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color w:val="auto"/>
        </w:rPr>
        <w:t>Reimbursement agencies in Europe may be more restrictive than payors in the United States. For example, a number of cancer products have been approved for reimbursement in the United States but not in certain European countries. In Europe, decisions about pricing and reimbursement vary from country to country. In certain countries, new products may be marketed after agreement on reimbursement price has been reached. Such pricing negotiations with governmental authorities can take considerable time after receipt of marketing approval for a product. Political, economic, and regulatory developments may further complicate pricing negotiations, and pricing negotiations may continue after reimbursement has been obtained. Other countries require additional health technology assessments that compare the cost-effectiveness of a particular product candidate to currently available therapies. In addition, the European Union provides options for its member states to restrict the range of products reimbursed by their national health insurance systems to control the prices of medicinal products for human use. With pricing and reimbursement decisions taking place at the member state level, member states may approve a specific price for a product, adopt a system of direct or indirect controls on the profitability of the company placing the product on the market or monitor and control prescription volumes and issue guidance to physicians to limit prescriptions. Reference pricing used by various European Union member states and parallel distribution, or arbitrage between low-priced and high-priced member states, can further reduce prices. Furthermore, many countries in the European Union have increased the number of discounts required on pharmaceutical products. These efforts could continue as countries attempt to manage healthcare expenditures, especially in light of severe fiscal and debt crises experienced by many countries in the European Union. There can be no assurance that any country with reimbursement limitations for pharmaceutical products will allow favorable reimbursement and pricing arrangements for any of our products, if approved in those countries. Accordingly, reimbursement for any products in Europe may be lower, compared to the United States and may be insufficient to generate commercially reasonable revenues and profits.</w:t>
      </w:r>
    </w:p>
    <w:p>
      <w:pPr>
        <w:spacing w:after="0" w:line="108"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b w:val="1"/>
          <w:bCs w:val="1"/>
          <w:color w:val="auto"/>
        </w:rPr>
        <w:t>The containment of healthcare costs has become a priority of foreign and domestic governments as well as private third-party payors. The pricing of drugs has been a focus in this effort. Governments and private third-party payors have attempted to control costs by limiting coverage and the amount of reimbursement for particular medications, which could affect our ability to sell our product candidates profitably. For example, HHS imposes rebates on many Medicare Part B and Medicare Part D products to penalize price increases that outpace inflation on an annual basis. In addition, HHS has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We also expect to experience pricing pressures due to the trend towards managed healthcare, the increasing influence of health maintenance organizations, and additional legislative changes. These and other cost-control initiatives could cause us to decrease the price we might establish for products, which could result in lower-than-anticipated product revenues. In addition, the publication of discounts by third-party payors or authorities may lead to further pressure on the prices or reimbursement levels within the country of publication and other countries. If pricing is set at unsatisfactory levels or if coverage and adequate reimbursement of our products is unavailable or limited in scope or amount, our revenues, and the potential profitability of our product candidates in those countries would be negatively affected.</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 Resources</w:t>
      </w:r>
    </w:p>
    <w:p>
      <w:pPr>
        <w:spacing w:after="0" w:line="129"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As of December 31, 2025, we had 23 employees, all of whom were full-time. Depending on the nature of their job, employees may have the flexibility to work remotely or out of our Redwood City office, laboratory and vivarium space. None of our employees are represented by labor unions or covered by collective bargaining agreements. We consider our relationship with our employees to be good and we have not experienced any work stoppages.</w:t>
      </w:r>
    </w:p>
    <w:p>
      <w:pPr>
        <w:spacing w:after="0" w:line="107" w:lineRule="exact"/>
        <w:rPr>
          <w:sz w:val="20"/>
          <w:szCs w:val="20"/>
          <w:color w:val="auto"/>
        </w:rPr>
      </w:pPr>
    </w:p>
    <w:p>
      <w:pPr>
        <w:ind w:right="80"/>
        <w:spacing w:after="0" w:line="329" w:lineRule="auto"/>
        <w:rPr>
          <w:sz w:val="20"/>
          <w:szCs w:val="20"/>
          <w:color w:val="auto"/>
        </w:rPr>
      </w:pPr>
      <w:r>
        <w:rPr>
          <w:rFonts w:ascii="Arial" w:cs="Arial" w:eastAsia="Arial" w:hAnsi="Arial"/>
          <w:sz w:val="15"/>
          <w:szCs w:val="15"/>
          <w:b w:val="1"/>
          <w:bCs w:val="1"/>
          <w:color w:val="auto"/>
        </w:rPr>
        <w:t>We recognize that attracting, motivating, and retaining talent at all levels is vital to our continued success. Our employees are a significant asset, and we aim to create an equitable, inclusive, diverse, and empowering environment in which our employees can grow and advance their careers. Our overall goal is to develop, expand and retain our workforce in support of our current pipeline and future business objectives. Our human resources objectives include identifying, recruiting, retaining, motivating, and integrating our existing and future employees. By focusing on employee retention and engagement, we also improve our ability to support our clinical trials, our pipeline, our platform technologies, business, and operations, and protect the long-term interests of our stockholders. Our efforts to recruit and retain a diverse and passionate workforce include providing competitive compensation and benefits packages and</w:t>
      </w:r>
    </w:p>
    <w:p>
      <w:pPr>
        <w:sectPr>
          <w:pgSz w:w="12240" w:h="15840" w:orient="portrait"/>
          <w:cols w:equalWidth="0" w:num="1">
            <w:col w:w="9700"/>
          </w:cols>
          <w:pgMar w:left="1260" w:top="1089" w:right="1280" w:bottom="181"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17</w:t>
      </w:r>
    </w:p>
    <w:p>
      <w:pPr>
        <w:sectPr>
          <w:pgSz w:w="12240" w:h="15840" w:orient="portrait"/>
          <w:cols w:equalWidth="0" w:num="1">
            <w:col w:w="9700"/>
          </w:cols>
          <w:pgMar w:left="1260" w:top="1089" w:right="1280" w:bottom="181"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ensuring we listen to our employees.</w:t>
      </w:r>
    </w:p>
    <w:p>
      <w:pPr>
        <w:spacing w:after="0" w:line="131"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We value innovation, passion, data-driven decision making, persistence and honesty. We are building an environment where our employees can thrive and be inspired to make exceptional contributions towards the advancement of novel and more effective therapies for cancer patients. We also seek and support a diverse population of employees, and value the contributions of all without regard to age, race, ethnicity, gender, or sexual orientation. We recognize the value of our employees’ unique backgrounds and breadth of experience in building a strong and sustainable company.</w:t>
      </w:r>
    </w:p>
    <w:p>
      <w:pPr>
        <w:spacing w:after="0" w:line="9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color w:val="auto"/>
        </w:rPr>
        <w:t>The principal purposes of our equity incentive plans are to attract, retain and motivate our employees and directors through grants of stock-based compensation awards and payments of cash-based performance bonus awards. These incentives are intended to encourage employees to perform to the best of their abilities and achieve objectives, thus contributing to our stockholder value. We also offer the 2021 Employee Stock Purchase Plan to all employees where they can purchase shares of our common stock at a discounted price. We are committed to providing a competitive and comprehensive benefits package to our employees. Our benefits package is designed to support our employees and their family’s health and well-being. Our benefits include, medical, dental and vision, as well as dependent care, mental health, and other wellness benefits.</w:t>
      </w:r>
    </w:p>
    <w:p>
      <w:pPr>
        <w:spacing w:after="0" w:line="109" w:lineRule="exact"/>
        <w:rPr>
          <w:sz w:val="20"/>
          <w:szCs w:val="20"/>
          <w:color w:val="auto"/>
        </w:rPr>
      </w:pPr>
    </w:p>
    <w:p>
      <w:pPr>
        <w:ind w:right="100"/>
        <w:spacing w:after="0" w:line="252" w:lineRule="auto"/>
        <w:rPr>
          <w:sz w:val="20"/>
          <w:szCs w:val="20"/>
          <w:color w:val="auto"/>
        </w:rPr>
      </w:pPr>
      <w:r>
        <w:rPr>
          <w:rFonts w:ascii="Arial" w:cs="Arial" w:eastAsia="Arial" w:hAnsi="Arial"/>
          <w:sz w:val="19"/>
          <w:szCs w:val="19"/>
          <w:b w:val="1"/>
          <w:bCs w:val="1"/>
          <w:color w:val="auto"/>
        </w:rPr>
        <w:t>We value career development for all employees, and we provide reimbursement and time for employees to attend professional development courses ranging from technical training, competency-based workshops, and leadership development programs. Direct managers also take an active role in identifying individualized development plans to assist their employees in realizing their full potential and creating opportunities for promotions and added responsibilities that enhance the engagement and retention of our workforce. We are committed to maintaining and increasing our investment in our workforce as we grow, including improvements in the way we hire, develop, motivate, and retain employees.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History</w:t>
      </w:r>
    </w:p>
    <w:p>
      <w:pPr>
        <w:spacing w:after="0" w:line="131" w:lineRule="exact"/>
        <w:rPr>
          <w:sz w:val="20"/>
          <w:szCs w:val="20"/>
          <w:color w:val="auto"/>
        </w:rPr>
      </w:pPr>
    </w:p>
    <w:p>
      <w:pPr>
        <w:spacing w:after="0" w:line="329" w:lineRule="auto"/>
        <w:rPr>
          <w:sz w:val="20"/>
          <w:szCs w:val="20"/>
          <w:color w:val="auto"/>
        </w:rPr>
      </w:pPr>
      <w:r>
        <w:rPr>
          <w:rFonts w:ascii="Arial" w:cs="Arial" w:eastAsia="Arial" w:hAnsi="Arial"/>
          <w:sz w:val="15"/>
          <w:szCs w:val="15"/>
          <w:b w:val="1"/>
          <w:bCs w:val="1"/>
          <w:color w:val="auto"/>
        </w:rPr>
        <w:t xml:space="preserve">We were incorporated under the laws of Delaware under the name Bolt Therapeutics, Inc. as a private company in January 2015. We changed our name to Bolt Biotherapeutics, Inc. in July 2015. Our principal executive offices are located at 900 Chesapeake Drive, Redwood City, California 94063 and our telephone number is (650) 665-9295. Our corporate website address is </w:t>
      </w:r>
      <w:r>
        <w:rPr>
          <w:rFonts w:ascii="Arial" w:cs="Arial" w:eastAsia="Arial" w:hAnsi="Arial"/>
          <w:sz w:val="15"/>
          <w:szCs w:val="15"/>
          <w:b w:val="1"/>
          <w:bCs w:val="1"/>
          <w:color w:val="5B5B5B"/>
        </w:rPr>
        <w:t>www.boltbio.com</w:t>
      </w:r>
      <w:r>
        <w:rPr>
          <w:rFonts w:ascii="Arial" w:cs="Arial" w:eastAsia="Arial" w:hAnsi="Arial"/>
          <w:sz w:val="15"/>
          <w:szCs w:val="15"/>
          <w:b w:val="1"/>
          <w:bCs w:val="1"/>
          <w:color w:val="auto"/>
        </w:rPr>
        <w:t>. We make available, free of charge on our website our annual report on Form 10-K, quarterly reports on Form 10-Q, current reports on Form 8-K, and any amendments to those reports, as soon as reasonably practicable after filing such reports with the SEC. Alternatively, you may access these reports at the SEC’s website at www.sec.gov. Information contained on, or that can be accessed through, our website is not incorporated by reference into this Annual Report, and the inclusion of our website address is an inactive textual reference only.</w:t>
      </w:r>
    </w:p>
    <w:p>
      <w:pPr>
        <w:sectPr>
          <w:pgSz w:w="12240" w:h="15840" w:orient="portrait"/>
          <w:cols w:equalWidth="0" w:num="1">
            <w:col w:w="9680"/>
          </w:cols>
          <w:pgMar w:left="1260" w:top="1079" w:right="13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18</w:t>
      </w:r>
    </w:p>
    <w:p>
      <w:pPr>
        <w:sectPr>
          <w:pgSz w:w="12240" w:h="15840" w:orient="portrait"/>
          <w:cols w:equalWidth="0" w:num="1">
            <w:col w:w="9680"/>
          </w:cols>
          <w:pgMar w:left="1260" w:top="1079" w:right="1300" w:bottom="181" w:gutter="0" w:footer="0" w:header="0"/>
          <w:type w:val="continuous"/>
        </w:sectPr>
      </w:pPr>
    </w:p>
    <w:bookmarkStart w:id="58" w:name="page59"/>
    <w:bookmarkEnd w:id="58"/>
    <w:p>
      <w:pPr>
        <w:spacing w:after="0"/>
        <w:rPr>
          <w:sz w:val="20"/>
          <w:szCs w:val="20"/>
          <w:color w:val="auto"/>
        </w:rPr>
      </w:pPr>
      <w:r>
        <w:rPr>
          <w:rFonts w:ascii="Arial" w:cs="Arial" w:eastAsia="Arial" w:hAnsi="Arial"/>
          <w:sz w:val="20"/>
          <w:szCs w:val="20"/>
          <w:b w:val="1"/>
          <w:bCs w:val="1"/>
          <w:color w:val="auto"/>
        </w:rPr>
        <w:t>Item 1A. Risk Factors.</w:t>
      </w:r>
    </w:p>
    <w:p>
      <w:pPr>
        <w:spacing w:after="0" w:line="131"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b w:val="1"/>
          <w:bCs w:val="1"/>
          <w:color w:val="auto"/>
        </w:rPr>
        <w:t>Our business involves significant risks, some of which are described below. You should carefully consider the risks and uncertainties described below, together with all of the other information contained in this Annual Report on Form 10-K, including “Management’s Discussion and Analysis of Financial Condition and Results of Operations” and the consolidated financial statements and the related notes. If any of the following risks actually occur, it could harm our business, prospects, operating results and financial condition and future prospects. In such event, the market price of our common stock could decline and you could lose all or part of your investment. Additional risks and uncertainties not presently known to us or that we currently deem immaterial may also impair our business operations. This report on Form 10-K also contains forward-looking statements that involve risks and uncertainties. Our actual results could differ materially from those anticipated in the forward-looking statements as a result of factors that are described below and elsewhere in this Annual Report.</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Financial Position and Need for Additional Capital</w:t>
      </w:r>
    </w:p>
    <w:p>
      <w:pPr>
        <w:spacing w:after="0" w:line="131" w:lineRule="exact"/>
        <w:rPr>
          <w:sz w:val="20"/>
          <w:szCs w:val="20"/>
          <w:color w:val="auto"/>
        </w:rPr>
      </w:pPr>
    </w:p>
    <w:p>
      <w:pPr>
        <w:ind w:right="280"/>
        <w:spacing w:after="0" w:line="312" w:lineRule="auto"/>
        <w:rPr>
          <w:sz w:val="20"/>
          <w:szCs w:val="20"/>
          <w:color w:val="auto"/>
        </w:rPr>
      </w:pPr>
      <w:r>
        <w:rPr>
          <w:rFonts w:ascii="Arial" w:cs="Arial" w:eastAsia="Arial" w:hAnsi="Arial"/>
          <w:sz w:val="17"/>
          <w:szCs w:val="17"/>
          <w:b w:val="1"/>
          <w:bCs w:val="1"/>
          <w:color w:val="auto"/>
        </w:rPr>
        <w:t>We have a limited operating history and have incurred significant losses since inception, and we anticipate that we may continue to incur losses for the foreseeable future and may never achieve or maintain profitability.</w:t>
      </w:r>
    </w:p>
    <w:p>
      <w:pPr>
        <w:spacing w:after="0" w:line="70"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Biopharmaceutical product development is a highly speculative undertaking and involves a substantial degree of risk. We are an immuno-oncology company with a limited operating history upon which you can evaluate our business and prospects. With the exception of BDC-3042, all of our other development programs are in preclinical development or drug discovery stage. We commenced operations in 2015, and to date, we have focused primarily on organizing and staffing our company, business planning, raising capital, developing our proprietary Boltbody ISAC approach, identifying product candidates, establishing our intellectual property portfolio, establishing collaborations, and conducting research, preclinical studies and clinical trials. Our approach to the discovery and development of product candidates based on our Boltbody ISAC approach is unproven, and we do not know whether we will be able to develop any product candidates that succeed in clinical development or products of commercial value. For example, we discontinued development of our first Boltbody ISAC program because we determined that it was not efficacious enough to be a commercially viable treatment option for patients. As an organization, we have not yet completed any clinical trials, obtained regulatory approvals, manufactured a commercial-scale product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222"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b w:val="1"/>
          <w:bCs w:val="1"/>
          <w:color w:val="auto"/>
        </w:rPr>
        <w:t>Since inception in 2015, we have not generated any product revenue and have incurred significant operating losses. Our net losses were $33.4 million and $63.1 million for the years ended December 31, 2025 and 2024, respectively. As of December 31, 2025, we had an accumulated deficit of $460.8 million. We expect to continue to incur significant expenses and operating losses for the foreseeable future. It could be at least several years, if ever, before we have product revenue from a commercialized drug. The net losses we incur may fluctuate significantly from quarter to quarter and year to year. We anticipate that our expenses will increase substantially if, and as, we:</w:t>
      </w:r>
    </w:p>
    <w:p>
      <w:pPr>
        <w:spacing w:after="0" w:line="84" w:lineRule="exact"/>
        <w:rPr>
          <w:sz w:val="20"/>
          <w:szCs w:val="20"/>
          <w:color w:val="auto"/>
        </w:rPr>
      </w:pPr>
    </w:p>
    <w:p>
      <w:pPr>
        <w:ind w:left="860" w:right="760"/>
        <w:spacing w:after="0" w:line="400" w:lineRule="auto"/>
        <w:rPr>
          <w:sz w:val="20"/>
          <w:szCs w:val="20"/>
          <w:color w:val="auto"/>
        </w:rPr>
      </w:pPr>
      <w:r>
        <w:rPr>
          <w:rFonts w:ascii="Arial" w:cs="Arial" w:eastAsia="Arial" w:hAnsi="Arial"/>
          <w:sz w:val="19"/>
          <w:szCs w:val="19"/>
          <w:b w:val="1"/>
          <w:bCs w:val="1"/>
          <w:color w:val="auto"/>
        </w:rPr>
        <w:t>continue to advance our research and preclinical and clinical development of our product candidates; expand and initiate further clinical trials for our product candidates;</w:t>
      </w:r>
    </w:p>
    <w:p>
      <w:pPr>
        <w:ind w:left="500"/>
        <w:spacing w:after="0"/>
        <w:rPr>
          <w:sz w:val="20"/>
          <w:szCs w:val="20"/>
          <w:color w:val="auto"/>
        </w:rPr>
      </w:pPr>
      <w:r>
        <w:rPr>
          <w:rFonts w:ascii="Arial" w:cs="Arial" w:eastAsia="Arial" w:hAnsi="Arial"/>
          <w:sz w:val="20"/>
          <w:szCs w:val="20"/>
          <w:b w:val="1"/>
          <w:bCs w:val="1"/>
          <w:color w:val="auto"/>
        </w:rPr>
        <w:t>seek to identify additional product candidates;</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seek marketing approvals for our product candidates that successfully complete clinical trials, if any;</w:t>
      </w:r>
    </w:p>
    <w:p>
      <w:pPr>
        <w:spacing w:after="0" w:line="146" w:lineRule="exact"/>
        <w:rPr>
          <w:sz w:val="20"/>
          <w:szCs w:val="20"/>
          <w:color w:val="auto"/>
        </w:rPr>
      </w:pPr>
    </w:p>
    <w:p>
      <w:pPr>
        <w:ind w:left="860" w:right="200"/>
        <w:spacing w:after="0" w:line="234" w:lineRule="auto"/>
        <w:rPr>
          <w:sz w:val="20"/>
          <w:szCs w:val="20"/>
          <w:color w:val="auto"/>
        </w:rPr>
      </w:pPr>
      <w:r>
        <w:rPr>
          <w:rFonts w:ascii="Arial" w:cs="Arial" w:eastAsia="Arial" w:hAnsi="Arial"/>
          <w:sz w:val="20"/>
          <w:szCs w:val="20"/>
          <w:b w:val="1"/>
          <w:bCs w:val="1"/>
          <w:color w:val="auto"/>
        </w:rPr>
        <w:t>establish a sales, marketing and distribution infrastructure to commercialize any products for which we may obtain marketing approval;</w:t>
      </w:r>
    </w:p>
    <w:p>
      <w:pPr>
        <w:spacing w:after="0" w:line="146" w:lineRule="exact"/>
        <w:rPr>
          <w:sz w:val="20"/>
          <w:szCs w:val="20"/>
          <w:color w:val="auto"/>
        </w:rPr>
      </w:pPr>
    </w:p>
    <w:p>
      <w:pPr>
        <w:ind w:left="860" w:right="400"/>
        <w:spacing w:after="0" w:line="234" w:lineRule="auto"/>
        <w:rPr>
          <w:sz w:val="20"/>
          <w:szCs w:val="20"/>
          <w:color w:val="auto"/>
        </w:rPr>
      </w:pPr>
      <w:r>
        <w:rPr>
          <w:rFonts w:ascii="Arial" w:cs="Arial" w:eastAsia="Arial" w:hAnsi="Arial"/>
          <w:sz w:val="20"/>
          <w:szCs w:val="20"/>
          <w:b w:val="1"/>
          <w:bCs w:val="1"/>
          <w:color w:val="auto"/>
        </w:rPr>
        <w:t>maintain, expand, protect and enforce our intellectual property portfolio and obtain licenses to third-party intellectual property;</w:t>
      </w:r>
    </w:p>
    <w:p>
      <w:pPr>
        <w:spacing w:after="0" w:line="146" w:lineRule="exact"/>
        <w:rPr>
          <w:sz w:val="20"/>
          <w:szCs w:val="20"/>
          <w:color w:val="auto"/>
        </w:rPr>
      </w:pPr>
    </w:p>
    <w:p>
      <w:pPr>
        <w:ind w:left="860" w:right="1420"/>
        <w:spacing w:after="0" w:line="505" w:lineRule="auto"/>
        <w:rPr>
          <w:sz w:val="20"/>
          <w:szCs w:val="20"/>
          <w:color w:val="auto"/>
        </w:rPr>
      </w:pPr>
      <w:r>
        <w:rPr>
          <w:rFonts w:ascii="Arial" w:cs="Arial" w:eastAsia="Arial" w:hAnsi="Arial"/>
          <w:sz w:val="15"/>
          <w:szCs w:val="15"/>
          <w:b w:val="1"/>
          <w:bCs w:val="1"/>
          <w:color w:val="auto"/>
        </w:rPr>
        <w:t>attract, hire and retain additional administrative, clinical, regulatory and scientific personnel; enter into third-party relationships for clinical trials, manufacturing and supply; and</w:t>
      </w:r>
    </w:p>
    <w:p>
      <w:pPr>
        <w:spacing w:after="0" w:line="1" w:lineRule="exact"/>
        <w:rPr>
          <w:sz w:val="20"/>
          <w:szCs w:val="20"/>
          <w:color w:val="auto"/>
        </w:rPr>
      </w:pPr>
    </w:p>
    <w:p>
      <w:pPr>
        <w:ind w:left="860" w:right="80"/>
        <w:spacing w:after="0" w:line="234" w:lineRule="auto"/>
        <w:rPr>
          <w:sz w:val="20"/>
          <w:szCs w:val="20"/>
          <w:color w:val="auto"/>
        </w:rPr>
      </w:pPr>
      <w:r>
        <w:rPr>
          <w:rFonts w:ascii="Arial" w:cs="Arial" w:eastAsia="Arial" w:hAnsi="Arial"/>
          <w:sz w:val="20"/>
          <w:szCs w:val="20"/>
          <w:b w:val="1"/>
          <w:bCs w:val="1"/>
          <w:color w:val="auto"/>
        </w:rPr>
        <w:t>incur additional legal, accounting and other expenses in operating our business, including the additional costs associated with operating as a public company.</w:t>
      </w:r>
    </w:p>
    <w:p>
      <w:pPr>
        <w:sectPr>
          <w:pgSz w:w="12240" w:h="15840" w:orient="portrait"/>
          <w:cols w:equalWidth="0" w:num="1">
            <w:col w:w="9700"/>
          </w:cols>
          <w:pgMar w:left="1260" w:top="107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19</w:t>
      </w:r>
    </w:p>
    <w:p>
      <w:pPr>
        <w:sectPr>
          <w:pgSz w:w="12240" w:h="15840" w:orient="portrait"/>
          <w:cols w:equalWidth="0" w:num="1">
            <w:col w:w="9700"/>
          </w:cols>
          <w:pgMar w:left="1260" w:top="1079" w:right="1280" w:bottom="181" w:gutter="0" w:footer="0" w:header="0"/>
          <w:type w:val="continuous"/>
        </w:sectPr>
      </w:pPr>
    </w:p>
    <w:bookmarkStart w:id="59" w:name="page60"/>
    <w:bookmarkEnd w:id="59"/>
    <w:p>
      <w:pPr>
        <w:ind w:right="40"/>
        <w:spacing w:after="0" w:line="268" w:lineRule="auto"/>
        <w:rPr>
          <w:sz w:val="20"/>
          <w:szCs w:val="20"/>
          <w:color w:val="auto"/>
        </w:rPr>
      </w:pPr>
      <w:r>
        <w:rPr>
          <w:rFonts w:ascii="Arial" w:cs="Arial" w:eastAsia="Arial" w:hAnsi="Arial"/>
          <w:sz w:val="18"/>
          <w:szCs w:val="18"/>
          <w:b w:val="1"/>
          <w:bCs w:val="1"/>
          <w:color w:val="auto"/>
        </w:rPr>
        <w:t>In addition, because of the numerous risks and uncertainties associated with pharmaceutical products and development, we are unable to accurately predict the timing or amount of increased expenses and when, or if, we will be able to achieve profitability. Our expenses could increase and profitability could be further delayed if we decide to or are required by the FDA or other regulatory authorities to perform studies or trials in addition to those currently expected, or if there are any delays in the development or completion of any planned or future preclinical studies or clinical trials of our current and future product candidates. Even if we complete the development and regulatory processes described above, we anticipate incurring significant costs associated with launching and commercializing our current and future product candidates.</w:t>
      </w:r>
    </w:p>
    <w:p>
      <w:pPr>
        <w:spacing w:after="0" w:line="229" w:lineRule="exact"/>
        <w:rPr>
          <w:sz w:val="20"/>
          <w:szCs w:val="20"/>
          <w:color w:val="auto"/>
        </w:rPr>
      </w:pPr>
    </w:p>
    <w:p>
      <w:pPr>
        <w:ind w:right="60"/>
        <w:spacing w:after="0" w:line="292" w:lineRule="auto"/>
        <w:rPr>
          <w:sz w:val="20"/>
          <w:szCs w:val="20"/>
          <w:color w:val="auto"/>
        </w:rPr>
      </w:pPr>
      <w:r>
        <w:rPr>
          <w:rFonts w:ascii="Arial" w:cs="Arial" w:eastAsia="Arial" w:hAnsi="Arial"/>
          <w:sz w:val="17"/>
          <w:szCs w:val="17"/>
          <w:b w:val="1"/>
          <w:bCs w:val="1"/>
          <w:color w:val="auto"/>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330" w:lineRule="exact"/>
        <w:rPr>
          <w:sz w:val="20"/>
          <w:szCs w:val="20"/>
          <w:color w:val="auto"/>
        </w:rPr>
      </w:pPr>
    </w:p>
    <w:p>
      <w:pPr>
        <w:ind w:right="160"/>
        <w:spacing w:after="0" w:line="235" w:lineRule="auto"/>
        <w:rPr>
          <w:sz w:val="20"/>
          <w:szCs w:val="20"/>
          <w:color w:val="auto"/>
        </w:rPr>
      </w:pPr>
      <w:r>
        <w:rPr>
          <w:rFonts w:ascii="Arial" w:cs="Arial" w:eastAsia="Arial" w:hAnsi="Arial"/>
          <w:sz w:val="20"/>
          <w:szCs w:val="20"/>
          <w:b w:val="1"/>
          <w:bCs w:val="1"/>
          <w:color w:val="auto"/>
        </w:rPr>
        <w:t>We will need substantial funding to pursue our business objectives. If we are unable to raise capital when needed or on terms favorable to us, we could be forced to delay, reduce or terminate our product development and other operations.</w:t>
      </w:r>
    </w:p>
    <w:p>
      <w:pPr>
        <w:spacing w:after="0" w:line="133"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b w:val="1"/>
          <w:bCs w:val="1"/>
          <w:color w:val="auto"/>
        </w:rPr>
        <w:t>Identifying and developing potential product candidates and conducting preclinical studies and clinical trials is a time-consuming, expensive and uncertain process that takes years to complete, and we may never generate the necessary data or results required to obtain regulatory approval and begin selling any approved products. We expect our expenses to increase in connection with our ongoing activities, particularly as we conduct our ongoing and planned preclinical studies, initiate additional clinical trials for our product candidates and seek regulatory approval for our current product candidates and any future product candidates we may develop. Our expenses could increase beyond our current expectations if the FDA requires us to perform clinical trials and other studies in addition to those that we currently anticipate. In addition, if we obtain marketing approval for any of our product candidates, we expect to incur significant commercialization expenses related to product sales, marketing, manufacturing and distribution. Accordingly, we will need to obtain substantial additional funding in connection with our continuing operations. If we are unable to raise capital when needed or on attractive terms, we would be forced to delay, reduce or terminate our research and development programs or future commercialization efforts.</w:t>
      </w:r>
    </w:p>
    <w:p>
      <w:pPr>
        <w:spacing w:after="0" w:line="95"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b w:val="1"/>
          <w:bCs w:val="1"/>
          <w:color w:val="auto"/>
        </w:rPr>
        <w:t>We have incurred net losses and negative cash flows from operations since our inception, with an accumulated deficit of $460.8 million and anticipate continuing to incur net losses for the foreseeable future. Under our current plan, we do not believe our cash and cash equivalents and marketable securities of $31.8 million as of December 31, 2025 will be sufficient to fund our operations through the next twelve months. As a result, we have concluded that there is substantial doubt about our ability to continue as a going concern.</w:t>
      </w:r>
    </w:p>
    <w:p>
      <w:pPr>
        <w:spacing w:after="0" w:line="105" w:lineRule="exact"/>
        <w:rPr>
          <w:sz w:val="20"/>
          <w:szCs w:val="20"/>
          <w:color w:val="auto"/>
        </w:rPr>
      </w:pPr>
    </w:p>
    <w:p>
      <w:pPr>
        <w:ind w:right="40"/>
        <w:spacing w:after="0" w:line="353" w:lineRule="auto"/>
        <w:rPr>
          <w:sz w:val="20"/>
          <w:szCs w:val="20"/>
          <w:color w:val="auto"/>
        </w:rPr>
      </w:pPr>
      <w:r>
        <w:rPr>
          <w:rFonts w:ascii="Arial" w:cs="Arial" w:eastAsia="Arial" w:hAnsi="Arial"/>
          <w:sz w:val="15"/>
          <w:szCs w:val="15"/>
          <w:b w:val="1"/>
          <w:bCs w:val="1"/>
          <w:color w:val="auto"/>
        </w:rPr>
        <w:t>Similarly, our independent registered public accounting firm included an explanatory paragraph in its report on our financial statements as of, and for the year ended, December 31, 2025, describing the existence of substantial doubt about our ability to continue as a going concern. Our future capital requirements will depend on many factors, including:</w:t>
      </w:r>
    </w:p>
    <w:p>
      <w:pPr>
        <w:spacing w:after="0" w:line="42" w:lineRule="exact"/>
        <w:rPr>
          <w:sz w:val="20"/>
          <w:szCs w:val="20"/>
          <w:color w:val="auto"/>
        </w:rPr>
      </w:pPr>
    </w:p>
    <w:p>
      <w:pPr>
        <w:ind w:left="860"/>
        <w:spacing w:after="0" w:line="234" w:lineRule="auto"/>
        <w:rPr>
          <w:sz w:val="20"/>
          <w:szCs w:val="20"/>
          <w:color w:val="auto"/>
        </w:rPr>
      </w:pPr>
      <w:r>
        <w:rPr>
          <w:rFonts w:ascii="Arial" w:cs="Arial" w:eastAsia="Arial" w:hAnsi="Arial"/>
          <w:sz w:val="20"/>
          <w:szCs w:val="20"/>
          <w:b w:val="1"/>
          <w:bCs w:val="1"/>
          <w:color w:val="auto"/>
        </w:rPr>
        <w:t>the scope, rate of progress, results and costs of drug discovery, preclinical development, laboratory testing and clinical trials for our product candidates;</w:t>
      </w:r>
    </w:p>
    <w:p>
      <w:pPr>
        <w:spacing w:after="0" w:line="146" w:lineRule="exact"/>
        <w:rPr>
          <w:sz w:val="20"/>
          <w:szCs w:val="20"/>
          <w:color w:val="auto"/>
        </w:rPr>
      </w:pPr>
    </w:p>
    <w:p>
      <w:pPr>
        <w:ind w:left="860" w:right="260"/>
        <w:spacing w:after="0" w:line="233" w:lineRule="auto"/>
        <w:rPr>
          <w:sz w:val="20"/>
          <w:szCs w:val="20"/>
          <w:color w:val="auto"/>
        </w:rPr>
      </w:pPr>
      <w:r>
        <w:rPr>
          <w:rFonts w:ascii="Arial" w:cs="Arial" w:eastAsia="Arial" w:hAnsi="Arial"/>
          <w:sz w:val="20"/>
          <w:szCs w:val="20"/>
          <w:b w:val="1"/>
          <w:bCs w:val="1"/>
          <w:color w:val="auto"/>
        </w:rPr>
        <w:t>the number and development requirements of product candidates that we may pursue, and other indications for our current product candidates that we may pursue;</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costs, timing and outcome of regulatory review of our product candidates;</w:t>
      </w:r>
    </w:p>
    <w:p>
      <w:pPr>
        <w:spacing w:after="0" w:line="145" w:lineRule="exact"/>
        <w:rPr>
          <w:sz w:val="20"/>
          <w:szCs w:val="20"/>
          <w:color w:val="auto"/>
        </w:rPr>
      </w:pPr>
    </w:p>
    <w:p>
      <w:pPr>
        <w:ind w:left="860" w:right="1400"/>
        <w:spacing w:after="0" w:line="422" w:lineRule="auto"/>
        <w:rPr>
          <w:sz w:val="20"/>
          <w:szCs w:val="20"/>
          <w:color w:val="auto"/>
        </w:rPr>
      </w:pPr>
      <w:r>
        <w:rPr>
          <w:rFonts w:ascii="Arial" w:cs="Arial" w:eastAsia="Arial" w:hAnsi="Arial"/>
          <w:sz w:val="18"/>
          <w:szCs w:val="18"/>
          <w:b w:val="1"/>
          <w:bCs w:val="1"/>
          <w:color w:val="auto"/>
        </w:rPr>
        <w:t>the scope and costs of manufacturing development and commercial manufacturing activities; the cost associated with commercializing any approved product candidates;</w:t>
      </w:r>
    </w:p>
    <w:p>
      <w:pPr>
        <w:ind w:left="500"/>
        <w:spacing w:after="0"/>
        <w:rPr>
          <w:sz w:val="20"/>
          <w:szCs w:val="20"/>
          <w:color w:val="auto"/>
        </w:rPr>
      </w:pPr>
      <w:r>
        <w:rPr>
          <w:rFonts w:ascii="Arial" w:cs="Arial" w:eastAsia="Arial" w:hAnsi="Arial"/>
          <w:sz w:val="20"/>
          <w:szCs w:val="20"/>
          <w:b w:val="1"/>
          <w:bCs w:val="1"/>
          <w:color w:val="auto"/>
        </w:rPr>
        <w:t>the cost and timing of developing our ability to establish sales and marketing capabilities, if any;</w:t>
      </w:r>
    </w:p>
    <w:p>
      <w:pPr>
        <w:spacing w:after="0" w:line="145" w:lineRule="exact"/>
        <w:rPr>
          <w:sz w:val="20"/>
          <w:szCs w:val="20"/>
          <w:color w:val="auto"/>
        </w:rPr>
      </w:pPr>
    </w:p>
    <w:p>
      <w:pPr>
        <w:ind w:left="860" w:right="20"/>
        <w:spacing w:after="0" w:line="235" w:lineRule="auto"/>
        <w:rPr>
          <w:sz w:val="20"/>
          <w:szCs w:val="20"/>
          <w:color w:val="auto"/>
        </w:rPr>
      </w:pPr>
      <w:r>
        <w:rPr>
          <w:rFonts w:ascii="Arial" w:cs="Arial" w:eastAsia="Arial" w:hAnsi="Arial"/>
          <w:sz w:val="20"/>
          <w:szCs w:val="20"/>
          <w:b w:val="1"/>
          <w:bCs w:val="1"/>
          <w:color w:val="auto"/>
        </w:rPr>
        <w:t>the costs of preparing, filing and prosecuting patent applications, maintaining, enforcing and protecting our intellectual property rights, defending intellectual property-related claims and obtaining licenses to third-party intellectual property;</w:t>
      </w:r>
    </w:p>
    <w:p>
      <w:pPr>
        <w:spacing w:after="0" w:line="147" w:lineRule="exact"/>
        <w:rPr>
          <w:sz w:val="20"/>
          <w:szCs w:val="20"/>
          <w:color w:val="auto"/>
        </w:rPr>
      </w:pPr>
    </w:p>
    <w:p>
      <w:pPr>
        <w:ind w:left="860" w:right="800"/>
        <w:spacing w:after="0" w:line="234" w:lineRule="auto"/>
        <w:rPr>
          <w:sz w:val="20"/>
          <w:szCs w:val="20"/>
          <w:color w:val="auto"/>
        </w:rPr>
      </w:pPr>
      <w:r>
        <w:rPr>
          <w:rFonts w:ascii="Arial" w:cs="Arial" w:eastAsia="Arial" w:hAnsi="Arial"/>
          <w:sz w:val="20"/>
          <w:szCs w:val="20"/>
          <w:b w:val="1"/>
          <w:bCs w:val="1"/>
          <w:color w:val="auto"/>
        </w:rPr>
        <w:t>the timing and amount of milestone and royalty payments we are required to make under our license agreements;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our ability to establish and maintain collaborations on favorable terms, if at all; and</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w:t>
      </w:r>
    </w:p>
    <w:p>
      <w:pPr>
        <w:sectPr>
          <w:pgSz w:w="12240" w:h="15840" w:orient="portrait"/>
          <w:cols w:equalWidth="0" w:num="1">
            <w:col w:w="9700"/>
          </w:cols>
          <w:pgMar w:left="1260" w:top="1089" w:right="1280" w:bottom="181" w:gutter="0" w:footer="0" w:header="0"/>
          <w:type w:val="continuous"/>
        </w:sectPr>
      </w:pPr>
    </w:p>
    <w:bookmarkStart w:id="60" w:name="page61"/>
    <w:bookmarkEnd w:id="60"/>
    <w:p>
      <w:pPr>
        <w:ind w:left="860" w:right="660"/>
        <w:spacing w:after="0" w:line="234" w:lineRule="auto"/>
        <w:rPr>
          <w:sz w:val="20"/>
          <w:szCs w:val="20"/>
          <w:color w:val="auto"/>
        </w:rPr>
      </w:pPr>
      <w:r>
        <w:rPr>
          <w:rFonts w:ascii="Arial" w:cs="Arial" w:eastAsia="Arial" w:hAnsi="Arial"/>
          <w:sz w:val="20"/>
          <w:szCs w:val="20"/>
          <w:b w:val="1"/>
          <w:bCs w:val="1"/>
          <w:color w:val="auto"/>
        </w:rPr>
        <w:t>the extent to which we acquire or in-license other product candidates and technologies and associated intellectual property.</w:t>
      </w:r>
    </w:p>
    <w:p>
      <w:pPr>
        <w:spacing w:after="0" w:line="273" w:lineRule="exact"/>
        <w:rPr>
          <w:sz w:val="20"/>
          <w:szCs w:val="20"/>
          <w:color w:val="auto"/>
        </w:rPr>
      </w:pPr>
    </w:p>
    <w:p>
      <w:pPr>
        <w:ind w:right="220"/>
        <w:spacing w:after="0" w:line="237" w:lineRule="auto"/>
        <w:rPr>
          <w:sz w:val="20"/>
          <w:szCs w:val="20"/>
          <w:color w:val="auto"/>
        </w:rPr>
      </w:pPr>
      <w:r>
        <w:rPr>
          <w:rFonts w:ascii="Arial" w:cs="Arial" w:eastAsia="Arial" w:hAnsi="Arial"/>
          <w:sz w:val="20"/>
          <w:szCs w:val="20"/>
          <w:b w:val="1"/>
          <w:bCs w:val="1"/>
          <w:color w:val="auto"/>
        </w:rPr>
        <w:t>We will require additional capital to complete our planned clinical development programs for our current product candidates to obtain regulatory approval. Any additional capital raising efforts may divert our management from their day-to-day activities, which may adversely affect our ability to develop and commercialize our current and future product candidates, if approved.</w:t>
      </w:r>
    </w:p>
    <w:p>
      <w:pPr>
        <w:spacing w:after="0" w:line="25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color w:val="auto"/>
        </w:rPr>
        <w:t>In addition, we cannot guarantee that future financing will be available on a timely basis, in sufficient amounts or on terms acceptable to us, if at all. Moreover, the terms of any financing may adversely affect the holdings or the rights of our stockholders and the issuance of additional securities by us, whether equity or debt, or the market perception that such issuances are likely to occur, could cause the market price of our common stock to decline. If we are unable to obtain funding on a timely basis on acceptable terms, we may be required to delay, reduce or terminate one or more of our research and development programs or the commercialization of any product candidates that may be approved. This could harm our business and could potentially cause us to cease operations. Considering all of these factors, we believe that there is substantial doubt about our ability to continue to operate as a going concern within one year.</w:t>
      </w:r>
    </w:p>
    <w:p>
      <w:pPr>
        <w:spacing w:after="0" w:line="215"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b w:val="1"/>
          <w:bCs w:val="1"/>
          <w:color w:val="auto"/>
        </w:rPr>
        <w:t>Raising additional capital may cause dilution to our stockholders, restrict our operations or require us to relinquish proprietary rights.</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226"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reduce or terminate our product development or future commercialization efforts or grant rights to third parties to develop and market product candidates that we would otherwise prefer to develop and market ourselves.</w:t>
      </w:r>
    </w:p>
    <w:p>
      <w:pPr>
        <w:spacing w:after="0" w:line="218" w:lineRule="exact"/>
        <w:rPr>
          <w:sz w:val="20"/>
          <w:szCs w:val="20"/>
          <w:color w:val="auto"/>
        </w:rPr>
      </w:pPr>
    </w:p>
    <w:p>
      <w:pPr>
        <w:ind w:right="660"/>
        <w:spacing w:after="0" w:line="234" w:lineRule="auto"/>
        <w:rPr>
          <w:sz w:val="20"/>
          <w:szCs w:val="20"/>
          <w:color w:val="auto"/>
        </w:rPr>
      </w:pPr>
      <w:r>
        <w:rPr>
          <w:rFonts w:ascii="Arial" w:cs="Arial" w:eastAsia="Arial" w:hAnsi="Arial"/>
          <w:sz w:val="20"/>
          <w:szCs w:val="20"/>
          <w:b w:val="1"/>
          <w:bCs w:val="1"/>
          <w:color w:val="auto"/>
        </w:rPr>
        <w:t>International trade policies, including tariffs, sanctions and trade barriers may adversely affect our business, financial condition, results of operations and prospects.</w:t>
      </w:r>
    </w:p>
    <w:p>
      <w:pPr>
        <w:spacing w:after="0" w:line="195"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b w:val="1"/>
          <w:bCs w:val="1"/>
          <w:color w:val="auto"/>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spacing w:after="0" w:line="98"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b w:val="1"/>
          <w:bCs w:val="1"/>
          <w:color w:val="auto"/>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including antibody production in South Korea and China, linker-payload manufacturing in Europe, and ISAC manufacturing in Europe. We also rely on specialized laboratory equipment, supplies, materials, and precursor compounds, all or part of which we believe may be ultimately sourced from multiple countries outside the United States, to advance our research and development efforts.</w:t>
      </w:r>
    </w:p>
    <w:p>
      <w:pPr>
        <w:spacing w:after="0" w:line="94" w:lineRule="exact"/>
        <w:rPr>
          <w:sz w:val="20"/>
          <w:szCs w:val="20"/>
          <w:color w:val="auto"/>
        </w:rPr>
      </w:pPr>
    </w:p>
    <w:p>
      <w:pPr>
        <w:ind w:right="60"/>
        <w:spacing w:after="0" w:line="386" w:lineRule="auto"/>
        <w:rPr>
          <w:sz w:val="20"/>
          <w:szCs w:val="20"/>
          <w:color w:val="auto"/>
        </w:rPr>
      </w:pPr>
      <w:r>
        <w:rPr>
          <w:rFonts w:ascii="Arial" w:cs="Arial" w:eastAsia="Arial" w:hAnsi="Arial"/>
          <w:sz w:val="15"/>
          <w:szCs w:val="15"/>
          <w:b w:val="1"/>
          <w:bCs w:val="1"/>
          <w:color w:val="auto"/>
        </w:rPr>
        <w:t>Current or future tariffs may result in increased research and development expenses, including with respect to increased costs associated with APIs, raw materials, laboratory equipment and research materials and components. In addition,</w:t>
      </w:r>
    </w:p>
    <w:p>
      <w:pPr>
        <w:sectPr>
          <w:pgSz w:w="12240" w:h="15840" w:orient="portrait"/>
          <w:cols w:equalWidth="0" w:num="1">
            <w:col w:w="9640"/>
          </w:cols>
          <w:pgMar w:left="1260" w:top="1081" w:right="1340" w:bottom="181" w:gutter="0" w:footer="0" w:header="0"/>
        </w:sect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21</w:t>
      </w:r>
    </w:p>
    <w:p>
      <w:pPr>
        <w:sectPr>
          <w:pgSz w:w="12240" w:h="15840" w:orient="portrait"/>
          <w:cols w:equalWidth="0" w:num="1">
            <w:col w:w="9640"/>
          </w:cols>
          <w:pgMar w:left="1260" w:top="1081" w:right="1340" w:bottom="181" w:gutter="0" w:footer="0" w:header="0"/>
          <w:type w:val="continuous"/>
        </w:sectPr>
      </w:pPr>
    </w:p>
    <w:bookmarkStart w:id="61" w:name="page62"/>
    <w:bookmarkEnd w:id="61"/>
    <w:p>
      <w:pPr>
        <w:ind w:right="20"/>
        <w:spacing w:after="0" w:line="287" w:lineRule="auto"/>
        <w:rPr>
          <w:sz w:val="20"/>
          <w:szCs w:val="20"/>
          <w:color w:val="auto"/>
        </w:rPr>
      </w:pPr>
      <w:r>
        <w:rPr>
          <w:rFonts w:ascii="Arial" w:cs="Arial" w:eastAsia="Arial" w:hAnsi="Arial"/>
          <w:sz w:val="17"/>
          <w:szCs w:val="17"/>
          <w:b w:val="1"/>
          <w:bCs w:val="1"/>
          <w:color w:val="auto"/>
        </w:rPr>
        <w:t>such tariffs may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spacing w:after="0" w:line="94"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color w:val="auto"/>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98" w:lineRule="exact"/>
        <w:rPr>
          <w:sz w:val="20"/>
          <w:szCs w:val="20"/>
          <w:color w:val="auto"/>
        </w:rPr>
      </w:pPr>
    </w:p>
    <w:p>
      <w:pPr>
        <w:ind w:right="180"/>
        <w:spacing w:after="0" w:line="328" w:lineRule="auto"/>
        <w:rPr>
          <w:sz w:val="20"/>
          <w:szCs w:val="20"/>
          <w:color w:val="auto"/>
        </w:rPr>
      </w:pPr>
      <w:r>
        <w:rPr>
          <w:rFonts w:ascii="Arial" w:cs="Arial" w:eastAsia="Arial" w:hAnsi="Arial"/>
          <w:sz w:val="15"/>
          <w:szCs w:val="15"/>
          <w:b w:val="1"/>
          <w:bCs w:val="1"/>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report and in our Annual Report for the fiscal year ended December 31, 2024.</w:t>
      </w:r>
    </w:p>
    <w:p>
      <w:pPr>
        <w:spacing w:after="0" w:line="187" w:lineRule="exact"/>
        <w:rPr>
          <w:sz w:val="20"/>
          <w:szCs w:val="20"/>
          <w:color w:val="auto"/>
        </w:rPr>
      </w:pPr>
    </w:p>
    <w:p>
      <w:pPr>
        <w:ind w:right="200"/>
        <w:spacing w:after="0" w:line="234" w:lineRule="auto"/>
        <w:rPr>
          <w:sz w:val="20"/>
          <w:szCs w:val="20"/>
          <w:color w:val="auto"/>
        </w:rPr>
      </w:pPr>
      <w:r>
        <w:rPr>
          <w:rFonts w:ascii="Arial" w:cs="Arial" w:eastAsia="Arial" w:hAnsi="Arial"/>
          <w:sz w:val="20"/>
          <w:szCs w:val="20"/>
          <w:b w:val="1"/>
          <w:bCs w:val="1"/>
          <w:color w:val="auto"/>
        </w:rPr>
        <w:t>Raising additional capital may cause dilution to our stockholders, restrict our operations or require us to relinquish proprietary rights.</w:t>
      </w:r>
    </w:p>
    <w:p>
      <w:pPr>
        <w:spacing w:after="0" w:line="252"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226"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b w:val="1"/>
          <w:bCs w:val="1"/>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reduce or terminate our product development or future commercialization efforts or grant rights to third parties to develop and market product candidates that we would otherwise prefer to develop and market ourselves.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might not be able to utilize a significant portion of our net operating loss, or NOL, carryforwards.</w:t>
      </w:r>
    </w:p>
    <w:p>
      <w:pPr>
        <w:spacing w:after="0" w:line="251"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b w:val="1"/>
          <w:bCs w:val="1"/>
          <w:color w:val="auto"/>
        </w:rPr>
        <w:t>As of December 31, 2025, we had federal and state net operating loss, or NOL, carryforwards of $294.6 million and $351.1 million, respectively. The federal NOL carryforwards generated prior to 2018 and state NOL carryforwards, if not utilized, will expire beginning in 2035. We have federal NOL aggregating $290.2 million that are not subject to expiration. The NOL carryforwards subject to expiration could expire unused and be unavailable to offset future income tax liabilities. Under the Tax Cuts and Jobs Act, or the Tax Act, as modified by the Coronavirus Aid, Relief and Economic Security Act, or CARES Act, federal NOL carryforwards incurred in taxable years beginning after December 31, 2017 and in future taxable years may be carried forward indefinitely, but the deductibility of such federal NOL carryforwards in taxable years beginning after December 31, 2020 is limited. There is variation in how states will respond to the Tax Act and CARES Act. In addition, for state income tax purposes, there may be periods during which</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22</w:t>
      </w:r>
    </w:p>
    <w:p>
      <w:pPr>
        <w:sectPr>
          <w:pgSz w:w="12240" w:h="15840" w:orient="portrait"/>
          <w:cols w:equalWidth="0" w:num="1">
            <w:col w:w="9700"/>
          </w:cols>
          <w:pgMar w:left="1260" w:top="1089" w:right="1280" w:bottom="181" w:gutter="0" w:footer="0" w:header="0"/>
          <w:type w:val="continuous"/>
        </w:sectPr>
      </w:pPr>
    </w:p>
    <w:bookmarkStart w:id="62" w:name="page63"/>
    <w:bookmarkEnd w:id="62"/>
    <w:p>
      <w:pPr>
        <w:ind w:right="500"/>
        <w:spacing w:after="0" w:line="281" w:lineRule="auto"/>
        <w:rPr>
          <w:sz w:val="20"/>
          <w:szCs w:val="20"/>
          <w:color w:val="auto"/>
        </w:rPr>
      </w:pPr>
      <w:r>
        <w:rPr>
          <w:rFonts w:ascii="Arial" w:cs="Arial" w:eastAsia="Arial" w:hAnsi="Arial"/>
          <w:sz w:val="18"/>
          <w:szCs w:val="18"/>
          <w:b w:val="1"/>
          <w:bCs w:val="1"/>
          <w:color w:val="auto"/>
        </w:rPr>
        <w:t>the use of NOL carryforwards are suspended or otherwise limited, such as recent California legislation limiting the usability of NOL carryforwards for tax years beginning in 2020 and before 2022.</w:t>
      </w:r>
    </w:p>
    <w:p>
      <w:pPr>
        <w:spacing w:after="0" w:line="214"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color w:val="auto"/>
        </w:rPr>
        <w:t>Separately, under Section 382 of the Internal Revenue Code of 1986, as amended, or the Internal Revenue Code,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The completion of our initial public offering, together with private placements and other transactions that have occurred since our inception, may trigger such an ownership change pursuant to Section 382. We have performed a Section 382 study as of September 30, 2023 and expect approximately $2.8 million of federal research and development credits and $51.0 million of California NOL carryforwards to expire unused due to Section 382 limitations.</w:t>
      </w:r>
    </w:p>
    <w:p>
      <w:pPr>
        <w:spacing w:after="0" w:line="217"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b w:val="1"/>
          <w:bCs w:val="1"/>
          <w:color w:val="auto"/>
        </w:rPr>
        <w:t>We may experience ownership changes as a result of subsequent shifts in our stock ownership, some of which may be outside of our control. If an ownership change occurs and our ability to use our NOL carryforwards is materially limited, it would harm our future operating results by effectively increasing our future tax obligations.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Development of Our Product Candidates</w:t>
      </w:r>
    </w:p>
    <w:p>
      <w:pPr>
        <w:spacing w:after="0" w:line="249" w:lineRule="exact"/>
        <w:rPr>
          <w:sz w:val="20"/>
          <w:szCs w:val="20"/>
          <w:color w:val="auto"/>
        </w:rPr>
      </w:pPr>
    </w:p>
    <w:p>
      <w:pPr>
        <w:ind w:right="220"/>
        <w:spacing w:after="0" w:line="274" w:lineRule="auto"/>
        <w:rPr>
          <w:sz w:val="20"/>
          <w:szCs w:val="20"/>
          <w:color w:val="auto"/>
        </w:rPr>
      </w:pPr>
      <w:r>
        <w:rPr>
          <w:rFonts w:ascii="Arial" w:cs="Arial" w:eastAsia="Arial" w:hAnsi="Arial"/>
          <w:sz w:val="18"/>
          <w:szCs w:val="18"/>
          <w:b w:val="1"/>
          <w:bCs w:val="1"/>
          <w:color w:val="auto"/>
        </w:rPr>
        <w:t>If none of our product candidates, including those in our collaborations, obtain regulatory approval and are successfully commercialized in one or more indications, or we or our collaboration partners experience significant delays in doing so, we may never generate any product revenue or become profitable.</w:t>
      </w:r>
    </w:p>
    <w:p>
      <w:pPr>
        <w:spacing w:after="0" w:line="222"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b w:val="1"/>
          <w:bCs w:val="1"/>
          <w:color w:val="auto"/>
        </w:rPr>
        <w:t>We have invested most of our efforts in developing our Boltbody ISAC approach, identifying potential product candidates and conducting preclinical studies. In May 2024, we announced the discontinuation of the development of our previous lead product candidate, trastuzumab imbotolimod because we determined that it was not efficacious enough to be a commercially viable treatment option for patients. We do not have any products that have received regulatory approval and may never be able to develop marketable product candidates. BDC-4182 is in the early stages of clinical development. We expect that a substantial portion of our efforts and expenses over the next several years will be devoted to the development of BDC-4182 and our collaborations. We cannot be certain that any of our other product candidates will receive regulatory approval or will be successfully commercialized even if they receive regulatory approval. The research, testing, manufacturing, safety, efficacy, labeling, approval, sale, marketing and distribution of our product candidates are, and will remain, subject to comprehensive regulation by the FDA and similar foreign regulatory authorities. Before obtaining regulatory approvals for the commercial sale of any product candidate, we must demonstrate through preclinical studies and clinical trials that the product candidate is safe and effective for use in each target indication. Drug development is a long, expensive and uncertain process, and delay or failure can occur at any stage of any of our clinical trials. Failure to obtain regulatory approval for our product candidates will prevent us from commercializing and marketing our product candidates, or receiving royalty payments from our collaborators. The success of our product candidates will depend on several additional factors, including:</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completing clinical trials that demonstrate their safety and efficacy;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successful initiation of clinical trials;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successful patient enrollment in, and completion, of clinical trials;</w:t>
      </w:r>
    </w:p>
    <w:p>
      <w:pPr>
        <w:spacing w:after="0" w:line="265" w:lineRule="exact"/>
        <w:rPr>
          <w:sz w:val="20"/>
          <w:szCs w:val="20"/>
          <w:color w:val="auto"/>
        </w:rPr>
      </w:pPr>
    </w:p>
    <w:p>
      <w:pPr>
        <w:ind w:left="500" w:right="360"/>
        <w:spacing w:after="0" w:line="234" w:lineRule="auto"/>
        <w:rPr>
          <w:sz w:val="20"/>
          <w:szCs w:val="20"/>
          <w:color w:val="auto"/>
        </w:rPr>
      </w:pPr>
      <w:r>
        <w:rPr>
          <w:rFonts w:ascii="Arial" w:cs="Arial" w:eastAsia="Arial" w:hAnsi="Arial"/>
          <w:sz w:val="20"/>
          <w:szCs w:val="20"/>
          <w:b w:val="1"/>
          <w:bCs w:val="1"/>
          <w:color w:val="auto"/>
        </w:rPr>
        <w:t>the ability to successfully develop, in-license or otherwise acquire additional targeting agents for our Boltbody ISACs;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receiving marketing approvals from applicable regulatory authorities;</w:t>
      </w:r>
    </w:p>
    <w:p>
      <w:pPr>
        <w:spacing w:after="0" w:line="265" w:lineRule="exact"/>
        <w:rPr>
          <w:sz w:val="20"/>
          <w:szCs w:val="20"/>
          <w:color w:val="auto"/>
        </w:rPr>
      </w:pPr>
    </w:p>
    <w:p>
      <w:pPr>
        <w:ind w:left="500" w:right="460"/>
        <w:spacing w:after="0" w:line="234" w:lineRule="auto"/>
        <w:rPr>
          <w:sz w:val="20"/>
          <w:szCs w:val="20"/>
          <w:color w:val="auto"/>
        </w:rPr>
      </w:pPr>
      <w:r>
        <w:rPr>
          <w:rFonts w:ascii="Arial" w:cs="Arial" w:eastAsia="Arial" w:hAnsi="Arial"/>
          <w:sz w:val="20"/>
          <w:szCs w:val="20"/>
          <w:b w:val="1"/>
          <w:bCs w:val="1"/>
          <w:color w:val="auto"/>
        </w:rPr>
        <w:t>obtaining, maintaining, protecting and enforcing patent, trade secret and other intellectual property rights and regulatory exclusivity for our product candidates;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completing any post-marketing studies required by applicable regulatory authorities;</w:t>
      </w:r>
    </w:p>
    <w:p>
      <w:pPr>
        <w:spacing w:after="0" w:line="265" w:lineRule="exact"/>
        <w:rPr>
          <w:sz w:val="20"/>
          <w:szCs w:val="20"/>
          <w:color w:val="auto"/>
        </w:rPr>
      </w:pPr>
    </w:p>
    <w:p>
      <w:pPr>
        <w:ind w:left="500" w:right="140"/>
        <w:spacing w:after="0" w:line="254" w:lineRule="auto"/>
        <w:rPr>
          <w:sz w:val="20"/>
          <w:szCs w:val="20"/>
          <w:color w:val="auto"/>
        </w:rPr>
      </w:pPr>
      <w:r>
        <w:rPr>
          <w:rFonts w:ascii="Arial" w:cs="Arial" w:eastAsia="Arial" w:hAnsi="Arial"/>
          <w:sz w:val="19"/>
          <w:szCs w:val="19"/>
          <w:b w:val="1"/>
          <w:bCs w:val="1"/>
          <w:color w:val="auto"/>
        </w:rPr>
        <w:t>making and maintaining arrangements with third-party manufacturers, or establishing manufacturing capabilities, for both clinical and commercial supplies of our product candidates;</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23</w:t>
      </w:r>
    </w:p>
    <w:p>
      <w:pPr>
        <w:sectPr>
          <w:pgSz w:w="12240" w:h="15840" w:orient="portrait"/>
          <w:cols w:equalWidth="0" w:num="1">
            <w:col w:w="9700"/>
          </w:cols>
          <w:pgMar w:left="1260" w:top="1089" w:right="1280" w:bottom="181" w:gutter="0" w:footer="0" w:header="0"/>
          <w:type w:val="continuous"/>
        </w:sectPr>
      </w:pPr>
    </w:p>
    <w:bookmarkStart w:id="63" w:name="page64"/>
    <w:bookmarkEnd w:id="63"/>
    <w:p>
      <w:pPr>
        <w:ind w:left="500" w:right="460"/>
        <w:spacing w:after="0" w:line="281" w:lineRule="auto"/>
        <w:rPr>
          <w:sz w:val="20"/>
          <w:szCs w:val="20"/>
          <w:color w:val="auto"/>
        </w:rPr>
      </w:pPr>
      <w:r>
        <w:rPr>
          <w:rFonts w:ascii="Arial" w:cs="Arial" w:eastAsia="Arial" w:hAnsi="Arial"/>
          <w:sz w:val="18"/>
          <w:szCs w:val="18"/>
          <w:b w:val="1"/>
          <w:bCs w:val="1"/>
          <w:color w:val="auto"/>
        </w:rPr>
        <w:t>establishing sales, marketing and distribution capabilities and successfully launching commercial sales of our products, if and when approved, whether alone or in collaboration with others;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the prevalence and severity of adverse events experienced with our product candidates;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acceptance of our product candidates by patients, the medical community and third-party payors;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 continued acceptable safety profile following approval;</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obtaining and maintaining healthcare coverage and adequate reimbursement for our product candidates;</w:t>
      </w:r>
    </w:p>
    <w:p>
      <w:pPr>
        <w:spacing w:after="0" w:line="266" w:lineRule="exact"/>
        <w:rPr>
          <w:sz w:val="20"/>
          <w:szCs w:val="20"/>
          <w:color w:val="auto"/>
        </w:rPr>
      </w:pPr>
    </w:p>
    <w:p>
      <w:pPr>
        <w:ind w:left="500" w:right="40"/>
        <w:spacing w:after="0" w:line="234" w:lineRule="auto"/>
        <w:rPr>
          <w:sz w:val="20"/>
          <w:szCs w:val="20"/>
          <w:color w:val="auto"/>
        </w:rPr>
      </w:pPr>
      <w:r>
        <w:rPr>
          <w:rFonts w:ascii="Arial" w:cs="Arial" w:eastAsia="Arial" w:hAnsi="Arial"/>
          <w:sz w:val="20"/>
          <w:szCs w:val="20"/>
          <w:b w:val="1"/>
          <w:bCs w:val="1"/>
          <w:color w:val="auto"/>
        </w:rPr>
        <w:t>competing effectively with other cancer therapies, including with respect to the sales and marketing of our product candidates, if approved; and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obtaining licenses to any third-party intellectual property we deem necessary or desirable.</w:t>
      </w:r>
    </w:p>
    <w:p>
      <w:pPr>
        <w:spacing w:after="0" w:line="274"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b w:val="1"/>
          <w:bCs w:val="1"/>
          <w:color w:val="auto"/>
        </w:rPr>
        <w:t>Many of these factors are beyond our control, including the time needed to adequately complete clinical testing, the regulatory submission process, potential threats to our intellectual property rights and changes in the competitive landscape.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complete clinical trials, obtain regulatory approval or, if approved, commercialize our product candidates, which would materially harm our business, financial condition, results of operations and prospects.</w:t>
      </w:r>
    </w:p>
    <w:p>
      <w:pPr>
        <w:spacing w:after="0" w:line="214"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b w:val="1"/>
          <w:bCs w:val="1"/>
          <w:color w:val="auto"/>
        </w:rPr>
        <w:t>In addition, the clinical trial requirements of the FDA and other regulatory agencies and the criteria these regulators may use to determine the safety and efficacy of a product candidate vary substantially according to the type, complexity, novelty and intended use and market of the potential products. The regulatory approval process for novel product candidates such as ours can be more expensive and take longer than for other, better known or extensively studied pharmaceutical or other product candidates.</w:t>
      </w:r>
    </w:p>
    <w:p>
      <w:pPr>
        <w:spacing w:after="0" w:line="242"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color w:val="auto"/>
        </w:rPr>
        <w:t>Our discovery and development of product candidates based on our Boltbody ISAC (immune-stimulating antibody conjugate) approach are unproven, which makes it difficult to predict the time and cost of product candidate development, and we do not know whether we will be able to develop any products of commercial value, or if competing technological approaches will limit the commercial value of our product candidates or render our platform obsolete.</w:t>
      </w:r>
    </w:p>
    <w:p>
      <w:pPr>
        <w:spacing w:after="0" w:line="129" w:lineRule="exact"/>
        <w:rPr>
          <w:sz w:val="20"/>
          <w:szCs w:val="20"/>
          <w:color w:val="auto"/>
        </w:rPr>
      </w:pPr>
    </w:p>
    <w:p>
      <w:pPr>
        <w:ind w:right="160"/>
        <w:spacing w:after="0" w:line="329" w:lineRule="auto"/>
        <w:rPr>
          <w:sz w:val="20"/>
          <w:szCs w:val="20"/>
          <w:color w:val="auto"/>
        </w:rPr>
      </w:pPr>
      <w:r>
        <w:rPr>
          <w:rFonts w:ascii="Arial" w:cs="Arial" w:eastAsia="Arial" w:hAnsi="Arial"/>
          <w:sz w:val="15"/>
          <w:szCs w:val="15"/>
          <w:b w:val="1"/>
          <w:bCs w:val="1"/>
          <w:color w:val="auto"/>
        </w:rPr>
        <w:t>The success of our business depends primarily upon our ability to identify, develop and commercialize products based on our proprietary Boltbody ISAC approach, which leverages a novel and unproven approach. We have not yet completed any clinical trials for any product candidate or obtained marketing approval thereafter. Our research methodology and novel approach to immunotherapy may be unsuccessful in identifying additional product candidates, and any product candidates based on our technology may be shown to have harmful side effects or may have other characteristics that may necessitate additional clinical testing, or make the product candidates unmarketable or unlikely to receive marketing approval. Further, because all of our product candidates and development programs are based on our technology approach, adverse developments with respect to one of our programs may have a significant adverse impact on the actual or perceived likelihood of success and value of our other programs.</w:t>
      </w:r>
    </w:p>
    <w:p>
      <w:pPr>
        <w:spacing w:after="0" w:line="200" w:lineRule="exact"/>
        <w:rPr>
          <w:sz w:val="20"/>
          <w:szCs w:val="20"/>
          <w:color w:val="auto"/>
        </w:rPr>
      </w:pPr>
    </w:p>
    <w:p>
      <w:pPr>
        <w:spacing w:after="0" w:line="220"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b w:val="1"/>
          <w:bCs w:val="1"/>
          <w:color w:val="auto"/>
        </w:rPr>
        <w:t>In addition, the biotechnology and biopharmaceutical industries are characterized by rapidly advancing technologies. Our future success will depend in part on our ability to maintain a competitive position with our Boltbody ISAC approach. If we fail to stay at the forefront of technological change in utilizing our Boltbody ISAC approach to create and develop product candidates, we may be unable to compete effectively. Our competitors may render our Boltbody ISAC approach obsolete, or limit the commercial value of our product candidates, by advances in existing technological approaches (for example, using different antibody drug conjugate, or ADC, technologies than we use) or the development of new or different approaches, potentially eliminating the advantages in our drug discovery process that we believe we derive from our research approach and proprietary technologies. By contrast, adverse developments with respect to other companies that attempt to use a similar approach to our approach may adversely impact the actual or perceived value of our Boltbody ISAC approach and potential of our product candidates.</w:t>
      </w:r>
    </w:p>
    <w:p>
      <w:pPr>
        <w:sectPr>
          <w:pgSz w:w="12240" w:h="15840" w:orient="portrait"/>
          <w:cols w:equalWidth="0" w:num="1">
            <w:col w:w="9700"/>
          </w:cols>
          <w:pgMar w:left="1260" w:top="1081"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24</w:t>
      </w:r>
    </w:p>
    <w:p>
      <w:pPr>
        <w:sectPr>
          <w:pgSz w:w="12240" w:h="15840" w:orient="portrait"/>
          <w:cols w:equalWidth="0" w:num="1">
            <w:col w:w="9700"/>
          </w:cols>
          <w:pgMar w:left="1260" w:top="1081" w:right="1280" w:bottom="181" w:gutter="0" w:footer="0" w:header="0"/>
          <w:type w:val="continuous"/>
        </w:sectPr>
      </w:pPr>
    </w:p>
    <w:bookmarkStart w:id="64" w:name="page65"/>
    <w:bookmarkEnd w:id="64"/>
    <w:p>
      <w:pPr>
        <w:ind w:right="40"/>
        <w:spacing w:after="0" w:line="287" w:lineRule="auto"/>
        <w:rPr>
          <w:sz w:val="20"/>
          <w:szCs w:val="20"/>
          <w:color w:val="auto"/>
        </w:rPr>
      </w:pPr>
      <w:r>
        <w:rPr>
          <w:rFonts w:ascii="Arial" w:cs="Arial" w:eastAsia="Arial" w:hAnsi="Arial"/>
          <w:sz w:val="17"/>
          <w:szCs w:val="17"/>
          <w:b w:val="1"/>
          <w:bCs w:val="1"/>
          <w:color w:val="auto"/>
        </w:rPr>
        <w:t>We have concentrated our product research and development efforts on our novel therapeutic approach of using myeloid biology to fight cancer, and our future success depends on the successful development of our product candidates. There can be no assurance that any development problems we experience in the future related to our novel therapy will not cause significant delays or unanticipated costs, or that such development problems can be efficiently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214" w:lineRule="exact"/>
        <w:rPr>
          <w:sz w:val="20"/>
          <w:szCs w:val="20"/>
          <w:color w:val="auto"/>
        </w:rPr>
      </w:pPr>
    </w:p>
    <w:p>
      <w:pPr>
        <w:ind w:right="300"/>
        <w:spacing w:after="0" w:line="309" w:lineRule="auto"/>
        <w:rPr>
          <w:sz w:val="20"/>
          <w:szCs w:val="20"/>
          <w:color w:val="auto"/>
        </w:rPr>
      </w:pPr>
      <w:r>
        <w:rPr>
          <w:rFonts w:ascii="Arial" w:cs="Arial" w:eastAsia="Arial" w:hAnsi="Arial"/>
          <w:sz w:val="17"/>
          <w:szCs w:val="17"/>
          <w:b w:val="1"/>
          <w:bCs w:val="1"/>
          <w:color w:val="auto"/>
        </w:rPr>
        <w:t>If any of these events occur, we may be forced to abandon our development efforts for a program or programs, which would have a material adverse effect on our business and could potentially cause us to cease operations.</w:t>
      </w:r>
    </w:p>
    <w:p>
      <w:pPr>
        <w:spacing w:after="0" w:line="315"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b w:val="1"/>
          <w:bCs w:val="1"/>
          <w:color w:val="auto"/>
        </w:rPr>
        <w:t>We are currently developing, and in the future may develop, product candidates in combination with other therapies and that may expose us to additional risks.</w:t>
      </w:r>
    </w:p>
    <w:p>
      <w:pPr>
        <w:spacing w:after="0" w:line="13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color w:val="auto"/>
        </w:rPr>
        <w:t>We may develop future product candidates for use in combination with one or more currently approved cancer therapies. Even if any product candidate we develop was to receive marketing approval or be commercialized for use in combination with other existing therapies, we would continue to be subject to the risks that the FDA or similar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217" w:lineRule="exact"/>
        <w:rPr>
          <w:sz w:val="20"/>
          <w:szCs w:val="20"/>
          <w:color w:val="auto"/>
        </w:rPr>
      </w:pPr>
    </w:p>
    <w:p>
      <w:pPr>
        <w:spacing w:after="0" w:line="236" w:lineRule="auto"/>
        <w:rPr>
          <w:sz w:val="20"/>
          <w:szCs w:val="20"/>
          <w:color w:val="auto"/>
        </w:rPr>
      </w:pPr>
      <w:r>
        <w:rPr>
          <w:rFonts w:ascii="Arial" w:cs="Arial" w:eastAsia="Arial" w:hAnsi="Arial"/>
          <w:sz w:val="20"/>
          <w:szCs w:val="20"/>
          <w:b w:val="1"/>
          <w:bCs w:val="1"/>
          <w:color w:val="auto"/>
        </w:rPr>
        <w:t>We may also evaluate future product candidates in combination with one or more other cancer therapies that have not yet been approved for marketing by the FDA or similar foreign regulatory authorities. We will not be able to market and sell any product candidate we develop in combination with any such unapproved cancer therapies that do not ultimately obtain marketing approval.</w:t>
      </w:r>
    </w:p>
    <w:p>
      <w:pPr>
        <w:spacing w:after="0" w:line="255" w:lineRule="exact"/>
        <w:rPr>
          <w:sz w:val="20"/>
          <w:szCs w:val="20"/>
          <w:color w:val="auto"/>
        </w:rPr>
      </w:pPr>
    </w:p>
    <w:p>
      <w:pPr>
        <w:ind w:right="300"/>
        <w:spacing w:after="0" w:line="353" w:lineRule="auto"/>
        <w:rPr>
          <w:sz w:val="20"/>
          <w:szCs w:val="20"/>
          <w:color w:val="auto"/>
        </w:rPr>
      </w:pPr>
      <w:r>
        <w:rPr>
          <w:rFonts w:ascii="Arial" w:cs="Arial" w:eastAsia="Arial" w:hAnsi="Arial"/>
          <w:sz w:val="15"/>
          <w:szCs w:val="15"/>
          <w:b w:val="1"/>
          <w:bCs w:val="1"/>
          <w:color w:val="auto"/>
        </w:rPr>
        <w:t>If the FDA or similar foreign regulatory authorities do not approve these other drugs or revoke their approval of, or if safety, efficacy, manufacturing or supply issues arise with, the drugs we choose to evaluate in combination with any product candidate we develop, we may be unable to obtain approval of or market any product candidate we develop.</w:t>
      </w:r>
    </w:p>
    <w:p>
      <w:pPr>
        <w:spacing w:after="0" w:line="288" w:lineRule="exact"/>
        <w:rPr>
          <w:sz w:val="20"/>
          <w:szCs w:val="20"/>
          <w:color w:val="auto"/>
        </w:rPr>
      </w:pPr>
    </w:p>
    <w:p>
      <w:pPr>
        <w:ind w:right="120"/>
        <w:spacing w:after="0" w:line="236" w:lineRule="auto"/>
        <w:rPr>
          <w:sz w:val="20"/>
          <w:szCs w:val="20"/>
          <w:color w:val="auto"/>
        </w:rPr>
      </w:pPr>
      <w:r>
        <w:rPr>
          <w:rFonts w:ascii="Arial" w:cs="Arial" w:eastAsia="Arial" w:hAnsi="Arial"/>
          <w:sz w:val="20"/>
          <w:szCs w:val="20"/>
          <w:b w:val="1"/>
          <w:bCs w:val="1"/>
          <w:color w:val="auto"/>
        </w:rPr>
        <w:t>We may seek accelerated approval for some or all of our product candidates from the FDA, however, the FDA may disagree and may require completion of additional clinical trials before considering a Biologics License Application, or BLA, for review.</w:t>
      </w:r>
    </w:p>
    <w:p>
      <w:pPr>
        <w:spacing w:after="0" w:line="13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color w:val="auto"/>
        </w:rPr>
        <w:t>We may seek accelerated approval for some or all of our product candidates. Under the FDA’s accelerated approval program, the FDA may approve a drug or biologic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drugs and biologics granted accelerated approval, confirmatory trials are required to confirm safety and clinical benefit and convert the application to full approval. These confirmatory trials must be completed with due diligence. Moreover, the FDA may withdraw approval of an application approved under the accelerated approval pathway if, for example:</w:t>
      </w:r>
    </w:p>
    <w:p>
      <w:pPr>
        <w:spacing w:after="0" w:line="84" w:lineRule="exact"/>
        <w:rPr>
          <w:sz w:val="20"/>
          <w:szCs w:val="20"/>
          <w:color w:val="auto"/>
        </w:rPr>
      </w:pPr>
    </w:p>
    <w:p>
      <w:pPr>
        <w:ind w:left="860" w:right="160"/>
        <w:spacing w:after="0" w:line="236" w:lineRule="auto"/>
        <w:rPr>
          <w:sz w:val="20"/>
          <w:szCs w:val="20"/>
          <w:color w:val="auto"/>
        </w:rPr>
      </w:pPr>
      <w:r>
        <w:rPr>
          <w:rFonts w:ascii="Arial" w:cs="Arial" w:eastAsia="Arial" w:hAnsi="Arial"/>
          <w:sz w:val="20"/>
          <w:szCs w:val="20"/>
          <w:b w:val="1"/>
          <w:bCs w:val="1"/>
          <w:color w:val="auto"/>
        </w:rPr>
        <w:t>the trial or trials required to verify the predicted clinical benefit of our product candidates fail to verify such benefit or do not demonstrate sufficient clinical benefit, including as to the duration of their effectiveness, to justify the risks associated with the product;</w:t>
      </w:r>
    </w:p>
    <w:p>
      <w:pPr>
        <w:spacing w:after="0" w:line="147" w:lineRule="exact"/>
        <w:rPr>
          <w:sz w:val="20"/>
          <w:szCs w:val="20"/>
          <w:color w:val="auto"/>
        </w:rPr>
      </w:pPr>
    </w:p>
    <w:p>
      <w:pPr>
        <w:ind w:left="860" w:right="140"/>
        <w:spacing w:after="0" w:line="400" w:lineRule="auto"/>
        <w:rPr>
          <w:sz w:val="20"/>
          <w:szCs w:val="20"/>
          <w:color w:val="auto"/>
        </w:rPr>
      </w:pPr>
      <w:r>
        <w:rPr>
          <w:rFonts w:ascii="Arial" w:cs="Arial" w:eastAsia="Arial" w:hAnsi="Arial"/>
          <w:sz w:val="19"/>
          <w:szCs w:val="19"/>
          <w:b w:val="1"/>
          <w:bCs w:val="1"/>
          <w:color w:val="auto"/>
        </w:rPr>
        <w:t>other evidence demonstrates that the product is not shown to be safe or effective under the conditions of use; we fail to conduct any required post-approval trial with due diligence; or</w:t>
      </w:r>
    </w:p>
    <w:p>
      <w:pPr>
        <w:ind w:left="500"/>
        <w:spacing w:after="0"/>
        <w:rPr>
          <w:sz w:val="20"/>
          <w:szCs w:val="20"/>
          <w:color w:val="auto"/>
        </w:rPr>
      </w:pPr>
      <w:r>
        <w:rPr>
          <w:rFonts w:ascii="Arial" w:cs="Arial" w:eastAsia="Arial" w:hAnsi="Arial"/>
          <w:sz w:val="20"/>
          <w:szCs w:val="20"/>
          <w:b w:val="1"/>
          <w:bCs w:val="1"/>
          <w:color w:val="auto"/>
        </w:rPr>
        <w:t>we disseminate false or misleading promotional materials relating to the relevant product.</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25</w:t>
      </w:r>
    </w:p>
    <w:p>
      <w:pPr>
        <w:sectPr>
          <w:pgSz w:w="12240" w:h="15840" w:orient="portrait"/>
          <w:cols w:equalWidth="0" w:num="1">
            <w:col w:w="9700"/>
          </w:cols>
          <w:pgMar w:left="1260" w:top="1089" w:right="1280" w:bottom="181" w:gutter="0" w:footer="0" w:header="0"/>
          <w:type w:val="continuous"/>
        </w:sectPr>
      </w:pPr>
    </w:p>
    <w:bookmarkStart w:id="65" w:name="page66"/>
    <w:bookmarkEnd w:id="65"/>
    <w:p>
      <w:pPr>
        <w:ind w:right="420"/>
        <w:spacing w:after="0" w:line="235" w:lineRule="auto"/>
        <w:rPr>
          <w:sz w:val="20"/>
          <w:szCs w:val="20"/>
          <w:color w:val="auto"/>
        </w:rPr>
      </w:pPr>
      <w:r>
        <w:rPr>
          <w:rFonts w:ascii="Arial" w:cs="Arial" w:eastAsia="Arial" w:hAnsi="Arial"/>
          <w:sz w:val="20"/>
          <w:szCs w:val="20"/>
          <w:b w:val="1"/>
          <w:bCs w:val="1"/>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w:t>
      </w:r>
    </w:p>
    <w:p>
      <w:pPr>
        <w:spacing w:after="0" w:line="13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color w:val="auto"/>
        </w:rPr>
        <w:t>The risk of failure for our product candidates is high. It is impossible to predict when or if any of our product candidates will prove effective or safe in humans or will receive regulatory approval. To obtain the requisite regulatory approvals to market and sell any of our product candidates, we must demonstrate through extensive preclinical studies and clinical trials that our product candidates are safe and effective in humans for use in each target indication. Clinical testing is expensive and can take many years to complete, and the outcome is inherently uncertain. Failure can occur at any time during the clinical trial process. For example, in August 2022, we announced the discontinuation of development of BDC-2034 due to off-target toxicity related to the targeting antibody. Additionally, in May 2024, we announced the discontinuation of development of our previous lead product candidate, trastuzumab imbotolimod because we determined that it was not efficacious enough to be a commercially viable treatment option for patients.</w:t>
      </w:r>
    </w:p>
    <w:p>
      <w:pPr>
        <w:spacing w:after="0" w:line="215"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color w:val="auto"/>
        </w:rPr>
        <w:t>In addition, the results of preclinical studies and earlier clinical trials may not be predictive of the results of later-stage preclinical studies or clinical trials. The results generated to date in preclinical studies or clinical trials for our product candidates do not ensure that later preclinical studies or clinical trials will demonstrate similar results. We have limited clinical data for any of our product candidates. Product candidates in later stages of clinical trials, although we have none at this stage as of yet, may fail to show the desired safety and efficacy traits despite having progressed through preclinical and earlier stage clinical trials. In later-stage clinical trials, we will likely be subject to more rigorous statistical analyses than in completed earlier stage clinical trials. A number of companies in the pharmaceutical industry have suffered significant setbacks in later-stage clinical trials due to adverse safety profiles or lack of efficacy,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215"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If we fail to produce positive results in our planned preclinical studies or clinical trials of any of our product candidates, the development timeline and regulatory approval and commercialization prospects for our product candidates, and, correspondingly, our business and financial prospects, would be materially and adversely affected.</w:t>
      </w:r>
    </w:p>
    <w:p>
      <w:pPr>
        <w:spacing w:after="0" w:line="226" w:lineRule="exact"/>
        <w:rPr>
          <w:sz w:val="20"/>
          <w:szCs w:val="20"/>
          <w:color w:val="auto"/>
        </w:rPr>
      </w:pPr>
    </w:p>
    <w:p>
      <w:pPr>
        <w:ind w:right="360"/>
        <w:spacing w:after="0" w:line="233" w:lineRule="auto"/>
        <w:rPr>
          <w:sz w:val="20"/>
          <w:szCs w:val="20"/>
          <w:color w:val="auto"/>
        </w:rPr>
      </w:pPr>
      <w:r>
        <w:rPr>
          <w:rFonts w:ascii="Arial" w:cs="Arial" w:eastAsia="Arial" w:hAnsi="Arial"/>
          <w:sz w:val="20"/>
          <w:szCs w:val="20"/>
          <w:b w:val="1"/>
          <w:bCs w:val="1"/>
          <w:color w:val="auto"/>
        </w:rPr>
        <w:t>We may encounter substantial delays in our clinical trials or we may fail to demonstrate safety and efficacy to the satisfaction of applicable regulatory authorities.</w:t>
      </w:r>
    </w:p>
    <w:p>
      <w:pPr>
        <w:spacing w:after="0" w:line="252"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b w:val="1"/>
          <w:bCs w:val="1"/>
          <w:color w:val="auto"/>
        </w:rPr>
        <w:t>Before obtaining marketing approval from regulatory authorities for the sale of our product candidates, we must conduct extensive clinical trials to demonstrate the safety and efficacy of the product candidate for its intended indications. Clinical trials are expensive, time-consuming and uncertain as to outcome. We cannot guarantee that any clinical trials will be conducted as planned or completed on schedule, if at all. A failure of one or more clinical trials can occur at any stage of testing. Events that may prevent successful or timely completion of clinical development include: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delays in reaching a consensus with regulatory authorities on trial design;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delays in reaching agreement or failing to agree on acceptable terms with prospective CROs and clinical trial sites;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delays in opening sites, enrollment and recruiting suitable patients to participate in our clinical trials;</w:t>
      </w:r>
    </w:p>
    <w:p>
      <w:pPr>
        <w:spacing w:after="0" w:line="266" w:lineRule="exact"/>
        <w:rPr>
          <w:sz w:val="20"/>
          <w:szCs w:val="20"/>
          <w:color w:val="auto"/>
        </w:rPr>
      </w:pPr>
    </w:p>
    <w:p>
      <w:pPr>
        <w:ind w:left="500" w:right="80"/>
        <w:spacing w:after="0" w:line="236" w:lineRule="auto"/>
        <w:rPr>
          <w:sz w:val="20"/>
          <w:szCs w:val="20"/>
          <w:color w:val="auto"/>
        </w:rPr>
      </w:pPr>
      <w:r>
        <w:rPr>
          <w:rFonts w:ascii="Arial" w:cs="Arial" w:eastAsia="Arial" w:hAnsi="Arial"/>
          <w:sz w:val="20"/>
          <w:szCs w:val="20"/>
          <w:b w:val="1"/>
          <w:bCs w:val="1"/>
          <w:color w:val="auto"/>
        </w:rPr>
        <w:t>interruptions in our business as a result of pandemics or other events outside our control, such as restrictions on travel and meetings with clinical trial sites and investigators, as well as potential disruptions in our product supply chain;</w:t>
      </w:r>
    </w:p>
    <w:p>
      <w:pPr>
        <w:spacing w:after="0" w:line="264" w:lineRule="exact"/>
        <w:rPr>
          <w:sz w:val="20"/>
          <w:szCs w:val="20"/>
          <w:color w:val="auto"/>
        </w:rPr>
      </w:pPr>
    </w:p>
    <w:p>
      <w:pPr>
        <w:ind w:left="500" w:right="180"/>
        <w:spacing w:after="0" w:line="281" w:lineRule="auto"/>
        <w:rPr>
          <w:sz w:val="20"/>
          <w:szCs w:val="20"/>
          <w:color w:val="auto"/>
        </w:rPr>
      </w:pPr>
      <w:r>
        <w:rPr>
          <w:rFonts w:ascii="Arial" w:cs="Arial" w:eastAsia="Arial" w:hAnsi="Arial"/>
          <w:sz w:val="18"/>
          <w:szCs w:val="18"/>
          <w:b w:val="1"/>
          <w:bCs w:val="1"/>
          <w:color w:val="auto"/>
        </w:rPr>
        <w:t>imposition of a clinical hold by regulatory authorities as a result of a serious adverse event, concerns with a class of product candidates or after an inspection of our clinical trial operations or trial sites;</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delays in having patients complete participation in a trial or return for post-treatment follow-up;</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26</w:t>
      </w:r>
    </w:p>
    <w:p>
      <w:pPr>
        <w:sectPr>
          <w:pgSz w:w="12240" w:h="15840" w:orient="portrait"/>
          <w:cols w:equalWidth="0" w:num="1">
            <w:col w:w="9700"/>
          </w:cols>
          <w:pgMar w:left="1260" w:top="1089" w:right="1280" w:bottom="181" w:gutter="0" w:footer="0" w:header="0"/>
          <w:type w:val="continuous"/>
        </w:sectPr>
      </w:pPr>
    </w:p>
    <w:bookmarkStart w:id="66" w:name="page67"/>
    <w:bookmarkEnd w:id="66"/>
    <w:p>
      <w:pPr>
        <w:ind w:left="500" w:right="720"/>
        <w:spacing w:after="0" w:line="234" w:lineRule="auto"/>
        <w:rPr>
          <w:sz w:val="20"/>
          <w:szCs w:val="20"/>
          <w:color w:val="auto"/>
        </w:rPr>
      </w:pPr>
      <w:r>
        <w:rPr>
          <w:rFonts w:ascii="Arial" w:cs="Arial" w:eastAsia="Arial" w:hAnsi="Arial"/>
          <w:sz w:val="20"/>
          <w:szCs w:val="20"/>
          <w:b w:val="1"/>
          <w:bCs w:val="1"/>
          <w:color w:val="auto"/>
        </w:rPr>
        <w:t>occurrence of serious adverse events associated with the product candidate that are viewed to outweigh its potential benefits; or</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regulatory requirements and guidance that require amending or submitting new clinical protocols.</w:t>
      </w:r>
    </w:p>
    <w:p>
      <w:pPr>
        <w:spacing w:after="0" w:line="286" w:lineRule="exact"/>
        <w:rPr>
          <w:sz w:val="20"/>
          <w:szCs w:val="20"/>
          <w:color w:val="auto"/>
        </w:rPr>
      </w:pPr>
    </w:p>
    <w:p>
      <w:pPr>
        <w:spacing w:after="0" w:line="252" w:lineRule="auto"/>
        <w:rPr>
          <w:sz w:val="20"/>
          <w:szCs w:val="20"/>
          <w:color w:val="auto"/>
        </w:rPr>
      </w:pPr>
      <w:r>
        <w:rPr>
          <w:rFonts w:ascii="Arial" w:cs="Arial" w:eastAsia="Arial" w:hAnsi="Arial"/>
          <w:sz w:val="19"/>
          <w:szCs w:val="19"/>
          <w:b w:val="1"/>
          <w:bCs w:val="1"/>
          <w:color w:val="auto"/>
        </w:rPr>
        <w:t>For instance, the effects of a pandemic or major geopolitical developments, and associated economic conditions could disrupt the supply chain and the manufacture or shipment of drug substances and finished drug products for our product candidates for use in our research and clinical trials, delay, limit or prevent our employees and CROs from continuing research and development activities, impede the ability of patients to enroll or continue in clinical trials, or impede testing, monitoring, data collection and analysis or other related activities, any of which could delay our clinical trials and increase our development costs, and have a material adverse effect on our business, financial condition and results of operations.</w:t>
      </w:r>
    </w:p>
    <w:p>
      <w:pPr>
        <w:spacing w:after="0" w:line="244"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b w:val="1"/>
          <w:bCs w:val="1"/>
          <w:color w:val="auto"/>
        </w:rPr>
        <w:t>Any inability to timely and successfully complete preclinical and clinical development could result in additional costs to us or impair our ability to achieve regulatory and commercialization milestones.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comparable drugs to market before we do, which could impair our ability to successfully commercialize our product candidates and may harm our business, financial condition, results of operations and prospects.</w:t>
      </w:r>
    </w:p>
    <w:p>
      <w:pPr>
        <w:spacing w:after="0" w:line="214"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b w:val="1"/>
          <w:bCs w:val="1"/>
          <w:color w:val="auto"/>
        </w:rPr>
        <w:t>Additionally, if the results of our clinical trials are inconclusive or if there are safety concerns or serious adverse events associated with our product candidates, we may:</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be delayed in obtaining marketing approval, if at all;</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obtain approval for indications or patient populations that are not as broad as intended or desired;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obtain approval with labeling that includes significant use or distribution restrictions or safety warnings;</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be subject to additional post-marketing testing requirements;</w:t>
      </w:r>
    </w:p>
    <w:p>
      <w:pPr>
        <w:spacing w:after="0" w:line="265" w:lineRule="exact"/>
        <w:rPr>
          <w:sz w:val="20"/>
          <w:szCs w:val="20"/>
          <w:color w:val="auto"/>
        </w:rPr>
      </w:pPr>
    </w:p>
    <w:p>
      <w:pPr>
        <w:ind w:left="500" w:right="480"/>
        <w:spacing w:after="0" w:line="234" w:lineRule="auto"/>
        <w:rPr>
          <w:sz w:val="20"/>
          <w:szCs w:val="20"/>
          <w:color w:val="auto"/>
        </w:rPr>
      </w:pPr>
      <w:r>
        <w:rPr>
          <w:rFonts w:ascii="Arial" w:cs="Arial" w:eastAsia="Arial" w:hAnsi="Arial"/>
          <w:sz w:val="20"/>
          <w:szCs w:val="20"/>
          <w:b w:val="1"/>
          <w:bCs w:val="1"/>
          <w:color w:val="auto"/>
        </w:rPr>
        <w:t>be required to perform additional clinical trials to support approval or be subject to additional post-marketing testing requirements;</w:t>
      </w:r>
    </w:p>
    <w:p>
      <w:pPr>
        <w:spacing w:after="0" w:line="266" w:lineRule="exact"/>
        <w:rPr>
          <w:sz w:val="20"/>
          <w:szCs w:val="20"/>
          <w:color w:val="auto"/>
        </w:rPr>
      </w:pPr>
    </w:p>
    <w:p>
      <w:pPr>
        <w:ind w:left="500" w:right="880"/>
        <w:spacing w:after="0" w:line="309" w:lineRule="auto"/>
        <w:rPr>
          <w:sz w:val="20"/>
          <w:szCs w:val="20"/>
          <w:color w:val="auto"/>
        </w:rPr>
      </w:pPr>
      <w:r>
        <w:rPr>
          <w:rFonts w:ascii="Arial" w:cs="Arial" w:eastAsia="Arial" w:hAnsi="Arial"/>
          <w:sz w:val="17"/>
          <w:szCs w:val="17"/>
          <w:b w:val="1"/>
          <w:bCs w:val="1"/>
          <w:color w:val="auto"/>
        </w:rPr>
        <w:t>have regulatory authorities withdraw, or suspend, their approval of the drug or impose restrictions on its distribution in the form of a modified risk evaluation and mitigation strategy, or REMS;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be subject to the addition of labeling statements, such as warnings or contraindications;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be sued; or</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experience damage to our reputation.</w:t>
      </w:r>
    </w:p>
    <w:p>
      <w:pPr>
        <w:spacing w:after="0" w:line="274" w:lineRule="exact"/>
        <w:rPr>
          <w:sz w:val="20"/>
          <w:szCs w:val="20"/>
          <w:color w:val="auto"/>
        </w:rPr>
      </w:pPr>
    </w:p>
    <w:p>
      <w:pPr>
        <w:jc w:val="both"/>
        <w:ind w:right="180"/>
        <w:spacing w:after="0" w:line="235" w:lineRule="auto"/>
        <w:rPr>
          <w:sz w:val="20"/>
          <w:szCs w:val="20"/>
          <w:color w:val="auto"/>
        </w:rPr>
      </w:pPr>
      <w:r>
        <w:rPr>
          <w:rFonts w:ascii="Arial" w:cs="Arial" w:eastAsia="Arial" w:hAnsi="Arial"/>
          <w:sz w:val="20"/>
          <w:szCs w:val="20"/>
          <w:b w:val="1"/>
          <w:bCs w:val="1"/>
          <w:color w:val="auto"/>
        </w:rPr>
        <w:t>Our drug development costs will also increase if we experience delays in testing or obtaining marketing approvals. We do not know whether any of our preclinical studies or clinical trials will begin as planned, need to be restructured or be completed on schedule, if at all.</w:t>
      </w:r>
    </w:p>
    <w:p>
      <w:pPr>
        <w:spacing w:after="0" w:line="25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color w:val="auto"/>
        </w:rPr>
        <w:t>Further, we, the FDA or an institutional review board may suspend our clinical trials at any time if it appears that we or our collaborators are failing to conduct a trial in accordance with regulatory requirements, including the FDA’s current Good Clinical Practice, or GCP, regulations, that we are exposing participants to unacceptable health risks or if the FDA finds deficiencies in our Investigational New Drug Applications, or INDs, or the conduct of these trials. Therefore, we cannot predict with any certainty the schedule for commencement and completion of future clinical trials.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sectPr>
          <w:pgSz w:w="12240" w:h="15840" w:orient="portrait"/>
          <w:cols w:equalWidth="0" w:num="1">
            <w:col w:w="9700"/>
          </w:cols>
          <w:pgMar w:left="1260" w:top="1081" w:right="1280" w:bottom="181"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27</w:t>
      </w:r>
    </w:p>
    <w:p>
      <w:pPr>
        <w:sectPr>
          <w:pgSz w:w="12240" w:h="15840" w:orient="portrait"/>
          <w:cols w:equalWidth="0" w:num="1">
            <w:col w:w="9700"/>
          </w:cols>
          <w:pgMar w:left="1260" w:top="1081" w:right="1280" w:bottom="181" w:gutter="0" w:footer="0" w:header="0"/>
          <w:type w:val="continuous"/>
        </w:sectPr>
      </w:pPr>
    </w:p>
    <w:bookmarkStart w:id="67" w:name="page68"/>
    <w:bookmarkEnd w:id="67"/>
    <w:p>
      <w:pPr>
        <w:ind w:right="120"/>
        <w:spacing w:after="0" w:line="312" w:lineRule="auto"/>
        <w:rPr>
          <w:sz w:val="20"/>
          <w:szCs w:val="20"/>
          <w:color w:val="auto"/>
        </w:rPr>
      </w:pPr>
      <w:r>
        <w:rPr>
          <w:rFonts w:ascii="Arial" w:cs="Arial" w:eastAsia="Arial" w:hAnsi="Arial"/>
          <w:sz w:val="17"/>
          <w:szCs w:val="17"/>
          <w:b w:val="1"/>
          <w:b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90"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color w:val="auto"/>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For example, in May 2024, we announced the discontinuation of development of our previous lead product candidate, trastuzumab imbotolimod because we determined that it was not efficacious enough to be a commercially viable treatment option for patients and began prioritizing other ISAC programs, including our collaboration programs. Our resource allocation decisions may cause us to fail to capitalize on viable commercial therapies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14" w:lineRule="exact"/>
        <w:rPr>
          <w:sz w:val="20"/>
          <w:szCs w:val="20"/>
          <w:color w:val="auto"/>
        </w:rPr>
      </w:pPr>
    </w:p>
    <w:p>
      <w:pPr>
        <w:ind w:right="140"/>
        <w:spacing w:after="0" w:line="236" w:lineRule="auto"/>
        <w:rPr>
          <w:sz w:val="20"/>
          <w:szCs w:val="20"/>
          <w:color w:val="auto"/>
        </w:rPr>
      </w:pPr>
      <w:r>
        <w:rPr>
          <w:rFonts w:ascii="Arial" w:cs="Arial" w:eastAsia="Arial" w:hAnsi="Arial"/>
          <w:sz w:val="20"/>
          <w:szCs w:val="20"/>
          <w:b w:val="1"/>
          <w:b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253"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withdrawal or limitation by regulatory authorities of approvals of such product;</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seizure of the product by regulatory authorities;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recall of the product;</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restrictions on the marketing of the product or the manufacturing process for any component thereof;</w:t>
      </w:r>
    </w:p>
    <w:p>
      <w:pPr>
        <w:spacing w:after="0" w:line="266" w:lineRule="exact"/>
        <w:rPr>
          <w:sz w:val="20"/>
          <w:szCs w:val="20"/>
          <w:color w:val="auto"/>
        </w:rPr>
      </w:pPr>
    </w:p>
    <w:p>
      <w:pPr>
        <w:ind w:left="500" w:right="620"/>
        <w:spacing w:after="0" w:line="234" w:lineRule="auto"/>
        <w:rPr>
          <w:sz w:val="20"/>
          <w:szCs w:val="20"/>
          <w:color w:val="auto"/>
        </w:rPr>
      </w:pPr>
      <w:r>
        <w:rPr>
          <w:rFonts w:ascii="Arial" w:cs="Arial" w:eastAsia="Arial" w:hAnsi="Arial"/>
          <w:sz w:val="20"/>
          <w:szCs w:val="20"/>
          <w:b w:val="1"/>
          <w:bCs w:val="1"/>
          <w:color w:val="auto"/>
        </w:rPr>
        <w:t>requirement by regulatory authorities of additional warnings on the label, such as a “black box” warning or contraindication;</w:t>
      </w:r>
    </w:p>
    <w:p>
      <w:pPr>
        <w:spacing w:after="0" w:line="266" w:lineRule="exact"/>
        <w:rPr>
          <w:sz w:val="20"/>
          <w:szCs w:val="20"/>
          <w:color w:val="auto"/>
        </w:rPr>
      </w:pPr>
    </w:p>
    <w:p>
      <w:pPr>
        <w:ind w:left="500" w:right="260"/>
        <w:spacing w:after="0" w:line="234" w:lineRule="auto"/>
        <w:rPr>
          <w:sz w:val="20"/>
          <w:szCs w:val="20"/>
          <w:color w:val="auto"/>
        </w:rPr>
      </w:pPr>
      <w:r>
        <w:rPr>
          <w:rFonts w:ascii="Arial" w:cs="Arial" w:eastAsia="Arial" w:hAnsi="Arial"/>
          <w:sz w:val="20"/>
          <w:szCs w:val="20"/>
          <w:b w:val="1"/>
          <w:bCs w:val="1"/>
          <w:color w:val="auto"/>
        </w:rPr>
        <w:t>requirement that we implement a REMS or create a medication guide outlining the risks of such side effects for distribution to patients;</w:t>
      </w:r>
    </w:p>
    <w:p>
      <w:pPr>
        <w:spacing w:after="0" w:line="266" w:lineRule="exact"/>
        <w:rPr>
          <w:sz w:val="20"/>
          <w:szCs w:val="20"/>
          <w:color w:val="auto"/>
        </w:rPr>
      </w:pPr>
    </w:p>
    <w:p>
      <w:pPr>
        <w:ind w:left="500" w:right="700"/>
        <w:spacing w:after="0" w:line="233" w:lineRule="auto"/>
        <w:rPr>
          <w:sz w:val="20"/>
          <w:szCs w:val="20"/>
          <w:color w:val="auto"/>
        </w:rPr>
      </w:pPr>
      <w:r>
        <w:rPr>
          <w:rFonts w:ascii="Arial" w:cs="Arial" w:eastAsia="Arial" w:hAnsi="Arial"/>
          <w:sz w:val="20"/>
          <w:szCs w:val="20"/>
          <w:b w:val="1"/>
          <w:bCs w:val="1"/>
          <w:color w:val="auto"/>
        </w:rPr>
        <w:t>commitment to expensive additional safety studies prior to approval or post-marketing studies required by regulatory authorities of such product;</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the product may become less competitive;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initiation of regulatory investigations and government enforcement actions;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initiation of legal action against us to hold us liable for harm caused to patients; and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harm to our reputation and resulting harm to physician or patient acceptance of our products.</w:t>
      </w:r>
    </w:p>
    <w:p>
      <w:pPr>
        <w:spacing w:after="0" w:line="274" w:lineRule="exact"/>
        <w:rPr>
          <w:sz w:val="20"/>
          <w:szCs w:val="20"/>
          <w:color w:val="auto"/>
        </w:rPr>
      </w:pPr>
    </w:p>
    <w:p>
      <w:pPr>
        <w:jc w:val="both"/>
        <w:ind w:right="720"/>
        <w:spacing w:after="0" w:line="235" w:lineRule="auto"/>
        <w:rPr>
          <w:sz w:val="20"/>
          <w:szCs w:val="20"/>
          <w:color w:val="auto"/>
        </w:rPr>
      </w:pPr>
      <w:r>
        <w:rPr>
          <w:rFonts w:ascii="Arial" w:cs="Arial" w:eastAsia="Arial" w:hAnsi="Arial"/>
          <w:sz w:val="20"/>
          <w:szCs w:val="20"/>
          <w:b w:val="1"/>
          <w:bCs w:val="1"/>
          <w:color w:val="auto"/>
        </w:rPr>
        <w:t>Any of these events could prevent us from achieving or maintaining market acceptance of the particular product candidate, if approved, and could significantly harm our business, financial condition, results of operations and prospects.</w:t>
      </w:r>
    </w:p>
    <w:p>
      <w:pPr>
        <w:sectPr>
          <w:pgSz w:w="12240" w:h="15840" w:orient="portrait"/>
          <w:cols w:equalWidth="0" w:num="1">
            <w:col w:w="9680"/>
          </w:cols>
          <w:pgMar w:left="1260" w:top="1089" w:right="13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28</w:t>
      </w:r>
    </w:p>
    <w:p>
      <w:pPr>
        <w:sectPr>
          <w:pgSz w:w="12240" w:h="15840" w:orient="portrait"/>
          <w:cols w:equalWidth="0" w:num="1">
            <w:col w:w="9680"/>
          </w:cols>
          <w:pgMar w:left="1260" w:top="1089" w:right="1300" w:bottom="181" w:gutter="0" w:footer="0" w:header="0"/>
          <w:type w:val="continuous"/>
        </w:sectPr>
      </w:pPr>
    </w:p>
    <w:bookmarkStart w:id="68" w:name="page69"/>
    <w:bookmarkEnd w:id="68"/>
    <w:p>
      <w:pPr>
        <w:ind w:right="600"/>
        <w:spacing w:after="0" w:line="234" w:lineRule="auto"/>
        <w:rPr>
          <w:sz w:val="20"/>
          <w:szCs w:val="20"/>
          <w:color w:val="auto"/>
        </w:rPr>
      </w:pPr>
      <w:r>
        <w:rPr>
          <w:rFonts w:ascii="Arial" w:cs="Arial" w:eastAsia="Arial" w:hAnsi="Arial"/>
          <w:sz w:val="20"/>
          <w:szCs w:val="20"/>
          <w:b w:val="1"/>
          <w:bCs w:val="1"/>
          <w:color w:val="auto"/>
        </w:rPr>
        <w:t>If we encounter difficulties enrolling patients in our clinical trials, our clinical development activities could be delayed or otherwise adversely affected.</w:t>
      </w:r>
    </w:p>
    <w:p>
      <w:pPr>
        <w:spacing w:after="0" w:line="250"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b w:val="1"/>
          <w:bCs w:val="1"/>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The enrollment of patients depends on many factors, including:</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the patient eligibility criteria defined in the protocol;</w:t>
      </w:r>
    </w:p>
    <w:p>
      <w:pPr>
        <w:spacing w:after="0" w:line="265" w:lineRule="exact"/>
        <w:rPr>
          <w:sz w:val="20"/>
          <w:szCs w:val="20"/>
          <w:color w:val="auto"/>
        </w:rPr>
      </w:pPr>
    </w:p>
    <w:p>
      <w:pPr>
        <w:ind w:left="500" w:right="1380"/>
        <w:spacing w:after="0" w:line="492" w:lineRule="auto"/>
        <w:rPr>
          <w:sz w:val="20"/>
          <w:szCs w:val="20"/>
          <w:color w:val="auto"/>
        </w:rPr>
      </w:pPr>
      <w:r>
        <w:rPr>
          <w:rFonts w:ascii="Arial" w:cs="Arial" w:eastAsia="Arial" w:hAnsi="Arial"/>
          <w:sz w:val="20"/>
          <w:szCs w:val="20"/>
          <w:b w:val="1"/>
          <w:bCs w:val="1"/>
          <w:color w:val="auto"/>
        </w:rPr>
        <w:t>the size and health of the patient population required for analysis of the trial’s primary endpoints; the proximity of patients to study sites;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the design of the trial;</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our ability to recruit clinical trial investigators with the appropriate competencies and experience;</w:t>
      </w:r>
    </w:p>
    <w:p>
      <w:pPr>
        <w:spacing w:after="0" w:line="265" w:lineRule="exact"/>
        <w:rPr>
          <w:sz w:val="20"/>
          <w:szCs w:val="20"/>
          <w:color w:val="auto"/>
        </w:rPr>
      </w:pPr>
    </w:p>
    <w:p>
      <w:pPr>
        <w:ind w:left="500" w:right="420"/>
        <w:spacing w:after="0" w:line="236" w:lineRule="auto"/>
        <w:rPr>
          <w:sz w:val="20"/>
          <w:szCs w:val="20"/>
          <w:color w:val="auto"/>
        </w:rPr>
      </w:pPr>
      <w:r>
        <w:rPr>
          <w:rFonts w:ascii="Arial" w:cs="Arial" w:eastAsia="Arial" w:hAnsi="Arial"/>
          <w:sz w:val="20"/>
          <w:szCs w:val="20"/>
          <w:b w:val="1"/>
          <w:bCs w:val="1"/>
          <w:color w:val="auto"/>
        </w:rPr>
        <w:t>clinicians’ and patients’ perceptions as to the potential advantages of the product candidate being studied in relation to other available therapies, including any new drugs that may be approved for the indications we are investigating;</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our ability to obtain and maintain patient consents; and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the risk that patients enrolled in clinical trials will drop out of the trials before completion.</w:t>
      </w:r>
    </w:p>
    <w:p>
      <w:pPr>
        <w:spacing w:after="0" w:line="27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conduct some of our clinical trials at the same clinical trial sites that some of our competitors use, which reduces the number of patients who are available for our clinical trials at such clinical trial site. Moreover, because our product candidates represent a departure from more commonly used methods for cancer treatment, potential patients and their doctors may be inclined to use conventional therapies rather than enroll patients in any future clinical trial.</w:t>
      </w:r>
    </w:p>
    <w:p>
      <w:pPr>
        <w:spacing w:after="0" w:line="217" w:lineRule="exact"/>
        <w:rPr>
          <w:sz w:val="20"/>
          <w:szCs w:val="20"/>
          <w:color w:val="auto"/>
        </w:rPr>
      </w:pPr>
    </w:p>
    <w:p>
      <w:pPr>
        <w:ind w:right="80"/>
        <w:spacing w:after="0" w:line="235" w:lineRule="auto"/>
        <w:rPr>
          <w:sz w:val="20"/>
          <w:szCs w:val="20"/>
          <w:color w:val="auto"/>
        </w:rPr>
      </w:pPr>
      <w:r>
        <w:rPr>
          <w:rFonts w:ascii="Arial" w:cs="Arial" w:eastAsia="Arial" w:hAnsi="Arial"/>
          <w:sz w:val="20"/>
          <w:szCs w:val="20"/>
          <w:b w:val="1"/>
          <w:bCs w:val="1"/>
          <w:color w:val="auto"/>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253" w:lineRule="exact"/>
        <w:rPr>
          <w:sz w:val="20"/>
          <w:szCs w:val="20"/>
          <w:color w:val="auto"/>
        </w:rPr>
      </w:pPr>
    </w:p>
    <w:p>
      <w:pPr>
        <w:jc w:val="both"/>
        <w:ind w:right="240"/>
        <w:spacing w:after="0" w:line="312" w:lineRule="auto"/>
        <w:rPr>
          <w:sz w:val="20"/>
          <w:szCs w:val="20"/>
          <w:color w:val="auto"/>
        </w:rPr>
      </w:pPr>
      <w:r>
        <w:rPr>
          <w:rFonts w:ascii="Arial" w:cs="Arial" w:eastAsia="Arial" w:hAnsi="Arial"/>
          <w:sz w:val="17"/>
          <w:szCs w:val="17"/>
          <w:b w:val="1"/>
          <w:b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93"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who use the product, healthcare providers, pharmaceutical companies or others selling such products. In addition, we have agreed to indemnify the licensors of the intellectual property related to our product candidates against certain intellectual property infringement, misappropriation and other claims.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 For more information regarding the risks associated with intellectual property-related litigation, see “Risk Factors—Risks Related to Our Intellectual Property.”</w:t>
      </w:r>
    </w:p>
    <w:p>
      <w:pPr>
        <w:spacing w:after="0" w:line="216" w:lineRule="exact"/>
        <w:rPr>
          <w:sz w:val="20"/>
          <w:szCs w:val="20"/>
          <w:color w:val="auto"/>
        </w:rPr>
      </w:pPr>
    </w:p>
    <w:p>
      <w:pPr>
        <w:ind w:right="40"/>
        <w:spacing w:after="0" w:line="353" w:lineRule="auto"/>
        <w:rPr>
          <w:sz w:val="20"/>
          <w:szCs w:val="20"/>
          <w:color w:val="auto"/>
        </w:rPr>
      </w:pPr>
      <w:r>
        <w:rPr>
          <w:rFonts w:ascii="Arial" w:cs="Arial" w:eastAsia="Arial" w:hAnsi="Arial"/>
          <w:sz w:val="15"/>
          <w:szCs w:val="15"/>
          <w:b w:val="1"/>
          <w:bCs w:val="1"/>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w:t>
      </w:r>
    </w:p>
    <w:p>
      <w:pPr>
        <w:sectPr>
          <w:pgSz w:w="12240" w:h="15840" w:orient="portrait"/>
          <w:cols w:equalWidth="0" w:num="1">
            <w:col w:w="9660"/>
          </w:cols>
          <w:pgMar w:left="1260" w:top="1089" w:right="1320" w:bottom="181" w:gutter="0" w:footer="0" w:header="0"/>
        </w:sect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29</w:t>
      </w:r>
    </w:p>
    <w:p>
      <w:pPr>
        <w:sectPr>
          <w:pgSz w:w="12240" w:h="15840" w:orient="portrait"/>
          <w:cols w:equalWidth="0" w:num="1">
            <w:col w:w="9660"/>
          </w:cols>
          <w:pgMar w:left="1260" w:top="1089" w:right="1320" w:bottom="181" w:gutter="0" w:footer="0" w:header="0"/>
          <w:type w:val="continuous"/>
        </w:sectPr>
      </w:pPr>
    </w:p>
    <w:bookmarkStart w:id="69" w:name="page70"/>
    <w:bookmarkEnd w:id="69"/>
    <w:p>
      <w:pPr>
        <w:ind w:right="160"/>
        <w:spacing w:after="0" w:line="234" w:lineRule="auto"/>
        <w:rPr>
          <w:sz w:val="20"/>
          <w:szCs w:val="20"/>
          <w:color w:val="auto"/>
        </w:rPr>
      </w:pPr>
      <w:r>
        <w:rPr>
          <w:rFonts w:ascii="Arial" w:cs="Arial" w:eastAsia="Arial" w:hAnsi="Arial"/>
          <w:sz w:val="20"/>
          <w:szCs w:val="20"/>
          <w:b w:val="1"/>
          <w:bCs w:val="1"/>
          <w:color w:val="auto"/>
        </w:rPr>
        <w:t>liabilities. Physicians and patients may not comply with any warnings that identify known potential adverse effects and patients who should not use our product candidates.</w:t>
      </w:r>
    </w:p>
    <w:p>
      <w:pPr>
        <w:spacing w:after="0" w:line="250" w:lineRule="exact"/>
        <w:rPr>
          <w:sz w:val="20"/>
          <w:szCs w:val="20"/>
          <w:color w:val="auto"/>
        </w:rPr>
      </w:pPr>
    </w:p>
    <w:p>
      <w:pPr>
        <w:ind w:right="120"/>
        <w:spacing w:after="0" w:line="333" w:lineRule="auto"/>
        <w:rPr>
          <w:sz w:val="20"/>
          <w:szCs w:val="20"/>
          <w:color w:val="auto"/>
        </w:rPr>
      </w:pPr>
      <w:r>
        <w:rPr>
          <w:rFonts w:ascii="Arial" w:cs="Arial" w:eastAsia="Arial" w:hAnsi="Arial"/>
          <w:sz w:val="15"/>
          <w:szCs w:val="15"/>
          <w:b w:val="1"/>
          <w:bCs w:val="1"/>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Commercialization of Our Product Candidates</w:t>
      </w:r>
    </w:p>
    <w:p>
      <w:pPr>
        <w:spacing w:after="0" w:line="251" w:lineRule="exact"/>
        <w:rPr>
          <w:sz w:val="20"/>
          <w:szCs w:val="20"/>
          <w:color w:val="auto"/>
        </w:rPr>
      </w:pPr>
    </w:p>
    <w:p>
      <w:pPr>
        <w:spacing w:after="0" w:line="236" w:lineRule="auto"/>
        <w:rPr>
          <w:sz w:val="20"/>
          <w:szCs w:val="20"/>
          <w:color w:val="auto"/>
        </w:rPr>
      </w:pPr>
      <w:r>
        <w:rPr>
          <w:rFonts w:ascii="Arial" w:cs="Arial" w:eastAsia="Arial" w:hAnsi="Arial"/>
          <w:sz w:val="20"/>
          <w:szCs w:val="20"/>
          <w:b w:val="1"/>
          <w:bCs w:val="1"/>
          <w:color w:val="auto"/>
        </w:rPr>
        <w:t>We have never commercialized a product candidate and we may lack the necessary expertise, personnel and resources to successfully commercialize on our own or together with collaborators, any of our products that receive regulatory approval.</w:t>
      </w:r>
    </w:p>
    <w:p>
      <w:pPr>
        <w:spacing w:after="0" w:line="253" w:lineRule="exact"/>
        <w:rPr>
          <w:sz w:val="20"/>
          <w:szCs w:val="20"/>
          <w:color w:val="auto"/>
        </w:rPr>
      </w:pPr>
    </w:p>
    <w:p>
      <w:pPr>
        <w:ind w:right="100"/>
        <w:spacing w:after="0" w:line="238" w:lineRule="auto"/>
        <w:rPr>
          <w:sz w:val="20"/>
          <w:szCs w:val="20"/>
          <w:color w:val="auto"/>
        </w:rPr>
      </w:pPr>
      <w:r>
        <w:rPr>
          <w:rFonts w:ascii="Arial" w:cs="Arial" w:eastAsia="Arial" w:hAnsi="Arial"/>
          <w:sz w:val="20"/>
          <w:szCs w:val="20"/>
          <w:b w:val="1"/>
          <w:bCs w:val="1"/>
          <w:color w:val="auto"/>
        </w:rPr>
        <w:t>We have never commercialized a product candidate. Our operations to date have been limited to organizing and staffing our company, business planning, raising capital, acquiring the rights to our product candidates and undertaking preclinical studies and clinical trials of our product candidates. We currently have no sales force, marketing, manufacturing or distribution capabilities. To achieve commercial success of our product candidates, if any are approved, we will have to develop our own sales, marketing and manufacturing capabilities or outsource these activities to a third party.</w:t>
      </w:r>
    </w:p>
    <w:p>
      <w:pPr>
        <w:spacing w:after="0" w:line="25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color w:val="auto"/>
        </w:rPr>
        <w:t>Factors that may affect our ability to commercialize our product candidates on our own include recruiting and retaining adequate numbers of effective sales and marketing personnel, educating adequate numbers of physicians on the benefits of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215" w:lineRule="exact"/>
        <w:rPr>
          <w:sz w:val="20"/>
          <w:szCs w:val="20"/>
          <w:color w:val="auto"/>
        </w:rPr>
      </w:pPr>
    </w:p>
    <w:p>
      <w:pPr>
        <w:ind w:right="400"/>
        <w:spacing w:after="0" w:line="234" w:lineRule="auto"/>
        <w:rPr>
          <w:sz w:val="20"/>
          <w:szCs w:val="20"/>
          <w:color w:val="auto"/>
        </w:rPr>
      </w:pPr>
      <w:r>
        <w:rPr>
          <w:rFonts w:ascii="Arial" w:cs="Arial" w:eastAsia="Arial" w:hAnsi="Arial"/>
          <w:sz w:val="20"/>
          <w:szCs w:val="20"/>
          <w:b w:val="1"/>
          <w:bCs w:val="1"/>
          <w:color w:val="auto"/>
        </w:rPr>
        <w:t>We face substantial competition, which may result in others discovering, developing or commercializing products before or more successfully than we do.</w:t>
      </w:r>
    </w:p>
    <w:p>
      <w:pPr>
        <w:spacing w:after="0" w:line="25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immunotherapies for the treatment of cancer. There are other companies working to develop immunotherapies for the treatment of cancer including divisions of large pharmaceutical and biotechnology companies of various sizes.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27"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color w:val="auto"/>
        </w:rPr>
        <w:t>We are developing our initial product candidates for the treatment of cancer and currently none of these therapies are approved. 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our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217" w:lineRule="exact"/>
        <w:rPr>
          <w:sz w:val="20"/>
          <w:szCs w:val="20"/>
          <w:color w:val="auto"/>
        </w:rPr>
      </w:pPr>
    </w:p>
    <w:p>
      <w:pPr>
        <w:ind w:right="180"/>
        <w:spacing w:after="0" w:line="385" w:lineRule="auto"/>
        <w:rPr>
          <w:sz w:val="20"/>
          <w:szCs w:val="20"/>
          <w:color w:val="auto"/>
        </w:rPr>
      </w:pPr>
      <w:r>
        <w:rPr>
          <w:rFonts w:ascii="Arial" w:cs="Arial" w:eastAsia="Arial" w:hAnsi="Arial"/>
          <w:sz w:val="15"/>
          <w:szCs w:val="15"/>
          <w:b w:val="1"/>
          <w:bCs w:val="1"/>
          <w:color w:val="auto"/>
        </w:rPr>
        <w:t>Competition may further increase as a result of advances in the commercial applicability of technologies for drug discovery and development and greater availability of capital for investment in cancer therapies. Other companies may</w:t>
      </w:r>
    </w:p>
    <w:p>
      <w:pPr>
        <w:sectPr>
          <w:pgSz w:w="12240" w:h="15840" w:orient="portrait"/>
          <w:cols w:equalWidth="0" w:num="1">
            <w:col w:w="9700"/>
          </w:cols>
          <w:pgMar w:left="1260" w:top="1089" w:right="1280" w:bottom="181" w:gutter="0" w:footer="0" w:header="0"/>
        </w:sect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30</w:t>
      </w:r>
    </w:p>
    <w:p>
      <w:pPr>
        <w:sectPr>
          <w:pgSz w:w="12240" w:h="15840" w:orient="portrait"/>
          <w:cols w:equalWidth="0" w:num="1">
            <w:col w:w="9700"/>
          </w:cols>
          <w:pgMar w:left="1260" w:top="1089" w:right="1280" w:bottom="181" w:gutter="0" w:footer="0" w:header="0"/>
          <w:type w:val="continuous"/>
        </w:sectPr>
      </w:pPr>
    </w:p>
    <w:bookmarkStart w:id="70" w:name="page71"/>
    <w:bookmarkEnd w:id="70"/>
    <w:p>
      <w:pPr>
        <w:ind w:right="60"/>
        <w:spacing w:after="0" w:line="270" w:lineRule="auto"/>
        <w:rPr>
          <w:sz w:val="20"/>
          <w:szCs w:val="20"/>
          <w:color w:val="auto"/>
        </w:rPr>
      </w:pPr>
      <w:r>
        <w:rPr>
          <w:rFonts w:ascii="Arial" w:cs="Arial" w:eastAsia="Arial" w:hAnsi="Arial"/>
          <w:sz w:val="18"/>
          <w:szCs w:val="18"/>
          <w:b w:val="1"/>
          <w:bCs w:val="1"/>
          <w:color w:val="auto"/>
        </w:rPr>
        <w:t>develop ISACs and toll-like receptors, or TLRs, agonists that may have utility for the treatment of cancer in indications we are targeting. Additionally, companies may utilize a range of other technologies and scientific approaches including ADCs, vaccines, bispecific antibodies and receptor tyrosine kinases inhibitors. Our current product and future product candidates will also compete more generally with companies developing alternative innate and adaptive immune system approaches for the treatment of cancer.</w:t>
      </w:r>
    </w:p>
    <w:p>
      <w:pPr>
        <w:spacing w:after="0" w:line="225" w:lineRule="exact"/>
        <w:rPr>
          <w:sz w:val="20"/>
          <w:szCs w:val="20"/>
          <w:color w:val="auto"/>
        </w:rPr>
      </w:pPr>
    </w:p>
    <w:p>
      <w:pPr>
        <w:ind w:right="500"/>
        <w:spacing w:after="0" w:line="297" w:lineRule="auto"/>
        <w:rPr>
          <w:sz w:val="20"/>
          <w:szCs w:val="20"/>
          <w:color w:val="auto"/>
        </w:rPr>
      </w:pPr>
      <w:r>
        <w:rPr>
          <w:rFonts w:ascii="Arial" w:cs="Arial" w:eastAsia="Arial" w:hAnsi="Arial"/>
          <w:sz w:val="17"/>
          <w:szCs w:val="17"/>
          <w:b w:val="1"/>
          <w:bCs w:val="1"/>
          <w:color w:val="auto"/>
        </w:rPr>
        <w:t>Our competitors may succeed in developing, acquiring or licensing, on an exclusive basis, products that are more effective or less costly than any product candidate that we may develop. In addition, most of these companies have substantially greater sales, marketing and other experience and reserves than we do.</w:t>
      </w:r>
    </w:p>
    <w:p>
      <w:pPr>
        <w:spacing w:after="0" w:line="203" w:lineRule="exact"/>
        <w:rPr>
          <w:sz w:val="20"/>
          <w:szCs w:val="20"/>
          <w:color w:val="auto"/>
        </w:rPr>
      </w:pPr>
    </w:p>
    <w:p>
      <w:pPr>
        <w:ind w:right="20"/>
        <w:spacing w:after="0" w:line="333" w:lineRule="auto"/>
        <w:rPr>
          <w:sz w:val="20"/>
          <w:szCs w:val="20"/>
          <w:color w:val="auto"/>
        </w:rPr>
      </w:pPr>
      <w:r>
        <w:rPr>
          <w:rFonts w:ascii="Arial" w:cs="Arial" w:eastAsia="Arial" w:hAnsi="Arial"/>
          <w:sz w:val="15"/>
          <w:szCs w:val="15"/>
          <w:b w:val="1"/>
          <w:bCs w:val="1"/>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84"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b w:val="1"/>
          <w:bCs w:val="1"/>
          <w:color w:val="auto"/>
        </w:rPr>
        <w:t>The availability of our competitors’ products could limit the demand and the price we are able to charge for any product candidate we commercialize, if any. The inability to compete with existing or subsequently introduced drugs would harm our business, financial condition, results of operations and prospects.</w:t>
      </w:r>
    </w:p>
    <w:p>
      <w:pPr>
        <w:spacing w:after="0" w:line="222"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b w:val="1"/>
          <w:b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250"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If our current or future product candidates receive marketing approval, whether as a single agent or in combination with other therapies, they may nonetheless fail to gain sufficient market acceptance by physicians, patients, third-party payors and others in the medical community. For example, current approved immunotherapies, and other cancer treatments like chemotherapy and radiation therapy, are well established in the medical community, and doctors may continue to rely on these therapies. If any of our product candidates do not achieve an adequate level of acceptance, we may not generate significant product revenues and we may never become profitable. The degree of market acceptance of our product candidates, if approved for commercial sale, will depend on a number of factors, including:</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efficacy and potential advantages compared to alternative treatments;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the ability to offer our products, if approved, for sale at competitive prices;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convenience and ease of administration compared to alternative treatments;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the willingness of the target patient population to try new therapies and of physicians to prescribe these therapies;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the strength of marketing and distribution support;</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sufficient third-party coverage or reimbursement, including of combination therapies;</w:t>
      </w:r>
    </w:p>
    <w:p>
      <w:pPr>
        <w:spacing w:after="0" w:line="265" w:lineRule="exact"/>
        <w:rPr>
          <w:sz w:val="20"/>
          <w:szCs w:val="20"/>
          <w:color w:val="auto"/>
        </w:rPr>
      </w:pPr>
    </w:p>
    <w:p>
      <w:pPr>
        <w:ind w:left="500" w:right="580"/>
        <w:spacing w:after="0" w:line="254" w:lineRule="auto"/>
        <w:rPr>
          <w:sz w:val="20"/>
          <w:szCs w:val="20"/>
          <w:color w:val="auto"/>
        </w:rPr>
      </w:pPr>
      <w:r>
        <w:rPr>
          <w:rFonts w:ascii="Arial" w:cs="Arial" w:eastAsia="Arial" w:hAnsi="Arial"/>
          <w:sz w:val="19"/>
          <w:szCs w:val="19"/>
          <w:b w:val="1"/>
          <w:bCs w:val="1"/>
          <w:color w:val="auto"/>
        </w:rPr>
        <w:t>the willingness of patients to pay all, or a portion of, out-of-pocket costs associated with our products in the absence of sufficient third-party coverage and adequate reimbursement;</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adoption of a companion diagnostic or complementary diagnostic; and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the prevalence and severity of any side effects.</w:t>
      </w:r>
    </w:p>
    <w:p>
      <w:pPr>
        <w:spacing w:after="0" w:line="274" w:lineRule="exact"/>
        <w:rPr>
          <w:sz w:val="20"/>
          <w:szCs w:val="20"/>
          <w:color w:val="auto"/>
        </w:rPr>
      </w:pPr>
    </w:p>
    <w:p>
      <w:pPr>
        <w:ind w:right="20"/>
        <w:spacing w:after="0" w:line="309" w:lineRule="auto"/>
        <w:rPr>
          <w:sz w:val="20"/>
          <w:szCs w:val="20"/>
          <w:color w:val="auto"/>
        </w:rPr>
      </w:pPr>
      <w:r>
        <w:rPr>
          <w:rFonts w:ascii="Arial" w:cs="Arial" w:eastAsia="Arial" w:hAnsi="Arial"/>
          <w:sz w:val="17"/>
          <w:szCs w:val="17"/>
          <w:b w:val="1"/>
          <w:bCs w:val="1"/>
          <w:color w:val="auto"/>
        </w:rPr>
        <w:t>The successful commercialization of certain of our product candidates will depend in part on the extent to which governmental authorities and health insurers establish adequate coverage, reimbursement levels and pricing policies.</w:t>
      </w:r>
    </w:p>
    <w:p>
      <w:pPr>
        <w:sectPr>
          <w:pgSz w:w="12240" w:h="15840" w:orient="portrait"/>
          <w:cols w:equalWidth="0" w:num="1">
            <w:col w:w="9680"/>
          </w:cols>
          <w:pgMar w:left="1260" w:top="1089" w:right="13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31</w:t>
      </w:r>
    </w:p>
    <w:p>
      <w:pPr>
        <w:sectPr>
          <w:pgSz w:w="12240" w:h="15840" w:orient="portrait"/>
          <w:cols w:equalWidth="0" w:num="1">
            <w:col w:w="9680"/>
          </w:cols>
          <w:pgMar w:left="1260" w:top="1089" w:right="1300" w:bottom="181" w:gutter="0" w:footer="0" w:header="0"/>
          <w:type w:val="continuous"/>
        </w:sectPr>
      </w:pPr>
    </w:p>
    <w:bookmarkStart w:id="71" w:name="page72"/>
    <w:bookmarkEnd w:id="71"/>
    <w:p>
      <w:pPr>
        <w:ind w:right="220"/>
        <w:spacing w:after="0" w:line="254" w:lineRule="auto"/>
        <w:rPr>
          <w:sz w:val="20"/>
          <w:szCs w:val="20"/>
          <w:color w:val="auto"/>
        </w:rPr>
      </w:pPr>
      <w:r>
        <w:rPr>
          <w:rFonts w:ascii="Arial" w:cs="Arial" w:eastAsia="Arial" w:hAnsi="Arial"/>
          <w:sz w:val="19"/>
          <w:szCs w:val="19"/>
          <w:b w:val="1"/>
          <w:bCs w:val="1"/>
          <w:color w:val="auto"/>
        </w:rPr>
        <w:t>Failure to obtain or maintain adequate coverage and reimbursement for our product candidates, if approved, could limit our ability to market those products and decrease our ability to generate revenue.</w:t>
      </w:r>
    </w:p>
    <w:p>
      <w:pPr>
        <w:spacing w:after="0" w:line="236"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and attract additional collaboration partners to invest in the development of our product candidates. Coverage under certain government programs, such as Medicare, Medicaid, the 340B drug pricing program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or elsewhere will be available for any product that we may develop, and any reimbursement that may become available may be decreased or eliminated in the future.</w:t>
      </w:r>
    </w:p>
    <w:p>
      <w:pPr>
        <w:spacing w:after="0" w:line="219"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21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reimburse health care providers who use such therapies. It is difficult to predict at this time what third-party payors will decide with respect to the coverage and reimbursement for our product candidates.</w:t>
      </w:r>
    </w:p>
    <w:p>
      <w:pPr>
        <w:spacing w:after="0" w:line="217"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b w:val="1"/>
          <w:bCs w:val="1"/>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212" w:lineRule="exact"/>
        <w:rPr>
          <w:sz w:val="20"/>
          <w:szCs w:val="20"/>
          <w:color w:val="auto"/>
        </w:rPr>
      </w:pPr>
    </w:p>
    <w:p>
      <w:pPr>
        <w:spacing w:after="0" w:line="325" w:lineRule="auto"/>
        <w:rPr>
          <w:sz w:val="20"/>
          <w:szCs w:val="20"/>
          <w:color w:val="auto"/>
        </w:rPr>
      </w:pPr>
      <w:r>
        <w:rPr>
          <w:rFonts w:ascii="Arial" w:cs="Arial" w:eastAsia="Arial" w:hAnsi="Arial"/>
          <w:sz w:val="15"/>
          <w:szCs w:val="15"/>
          <w:b w:val="1"/>
          <w:bCs w:val="1"/>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For example, the U.S. Department of Health and Human Services, or HHS, imposes rebates on many Medicare Part B and Medicare Part D products to penalize price increases that outpace inflation on an annual basis. In addition, HHS has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If coverage and adequate reimbursement are not available, or are available only to limited levels, we may not be able to successfully commercialize our current and any future product candidates that we develop, which could have an adverse effect on our</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32</w:t>
      </w:r>
    </w:p>
    <w:p>
      <w:pPr>
        <w:sectPr>
          <w:pgSz w:w="12240" w:h="15840" w:orient="portrait"/>
          <w:cols w:equalWidth="0" w:num="1">
            <w:col w:w="9700"/>
          </w:cols>
          <w:pgMar w:left="1260" w:top="1089" w:right="1280" w:bottom="181" w:gutter="0" w:footer="0" w:header="0"/>
          <w:type w:val="continuous"/>
        </w:sectPr>
      </w:pPr>
    </w:p>
    <w:bookmarkStart w:id="72" w:name="page73"/>
    <w:bookmarkEnd w:id="72"/>
    <w:p>
      <w:pPr>
        <w:ind w:right="280"/>
        <w:spacing w:after="0" w:line="235" w:lineRule="auto"/>
        <w:rPr>
          <w:sz w:val="20"/>
          <w:szCs w:val="20"/>
          <w:color w:val="auto"/>
        </w:rPr>
      </w:pPr>
      <w:r>
        <w:rPr>
          <w:rFonts w:ascii="Arial" w:cs="Arial" w:eastAsia="Arial" w:hAnsi="Arial"/>
          <w:sz w:val="20"/>
          <w:szCs w:val="20"/>
          <w:b w:val="1"/>
          <w:bCs w:val="1"/>
          <w:color w:val="auto"/>
        </w:rPr>
        <w:t>operating results and our overall financial condition. The continuing efforts of the government, insurance companies, managed care organizations and other payors of health care services to contain or reduce costs of health care may adversely affect:</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the demand for any products for which we may obtain regulatory approval;</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our ability to set a price that we believe is fair for our products;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our ability to obtain coverage and reimbursement approval for a product;</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our ability to generate revenues and achieve or maintain profitability; and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the level of taxes that we are required to pay.</w:t>
      </w:r>
    </w:p>
    <w:p>
      <w:pPr>
        <w:spacing w:after="0" w:line="271" w:lineRule="exact"/>
        <w:rPr>
          <w:sz w:val="20"/>
          <w:szCs w:val="20"/>
          <w:color w:val="auto"/>
        </w:rPr>
      </w:pPr>
    </w:p>
    <w:p>
      <w:pPr>
        <w:ind w:right="340"/>
        <w:spacing w:after="0" w:line="312" w:lineRule="auto"/>
        <w:rPr>
          <w:sz w:val="20"/>
          <w:szCs w:val="20"/>
          <w:color w:val="auto"/>
        </w:rPr>
      </w:pPr>
      <w:r>
        <w:rPr>
          <w:rFonts w:ascii="Arial" w:cs="Arial" w:eastAsia="Arial" w:hAnsi="Arial"/>
          <w:sz w:val="17"/>
          <w:szCs w:val="17"/>
          <w:b w:val="1"/>
          <w:b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193" w:lineRule="exact"/>
        <w:rPr>
          <w:sz w:val="20"/>
          <w:szCs w:val="20"/>
          <w:color w:val="auto"/>
        </w:rPr>
      </w:pPr>
    </w:p>
    <w:p>
      <w:pPr>
        <w:ind w:right="20"/>
        <w:spacing w:after="0" w:line="342" w:lineRule="auto"/>
        <w:rPr>
          <w:sz w:val="20"/>
          <w:szCs w:val="20"/>
          <w:color w:val="auto"/>
        </w:rPr>
      </w:pPr>
      <w:r>
        <w:rPr>
          <w:rFonts w:ascii="Arial" w:cs="Arial" w:eastAsia="Arial" w:hAnsi="Arial"/>
          <w:sz w:val="15"/>
          <w:szCs w:val="15"/>
          <w:b w:val="1"/>
          <w:bCs w:val="1"/>
          <w:color w:val="auto"/>
        </w:rPr>
        <w:t>Even if the FDA approves the marketing of any product candidates that we develop, physicians, patients, third-party payors or the medical community may not accept or use them. Efforts to educate the medical community and third-party payors on the benefits of our product candidates may require significant resources and may not be successful. Market acceptance of our product candidates, if any are approved, will depend on a number of factors, including, among others:</w:t>
      </w:r>
    </w:p>
    <w:p>
      <w:pPr>
        <w:spacing w:after="0" w:line="168" w:lineRule="exact"/>
        <w:rPr>
          <w:sz w:val="20"/>
          <w:szCs w:val="20"/>
          <w:color w:val="auto"/>
        </w:rPr>
      </w:pPr>
    </w:p>
    <w:p>
      <w:pPr>
        <w:ind w:left="500" w:right="700"/>
        <w:spacing w:after="0" w:line="234" w:lineRule="auto"/>
        <w:rPr>
          <w:sz w:val="20"/>
          <w:szCs w:val="20"/>
          <w:color w:val="auto"/>
        </w:rPr>
      </w:pPr>
      <w:r>
        <w:rPr>
          <w:rFonts w:ascii="Arial" w:cs="Arial" w:eastAsia="Arial" w:hAnsi="Arial"/>
          <w:sz w:val="20"/>
          <w:szCs w:val="20"/>
          <w:b w:val="1"/>
          <w:bCs w:val="1"/>
          <w:color w:val="auto"/>
        </w:rPr>
        <w:t>the ability of our product candidates to treat cancer, as compared with other available drugs, treatments or therapies;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the prevalence and severity of any adverse side effects associated with our product candidates;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limitations or warnings contained in the labeling approved for our product candidates by the FDA;</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availability of alternative treatments;</w:t>
      </w:r>
    </w:p>
    <w:p>
      <w:pPr>
        <w:spacing w:after="0" w:line="265" w:lineRule="exact"/>
        <w:rPr>
          <w:sz w:val="20"/>
          <w:szCs w:val="20"/>
          <w:color w:val="auto"/>
        </w:rPr>
      </w:pPr>
    </w:p>
    <w:p>
      <w:pPr>
        <w:ind w:left="500" w:right="260"/>
        <w:spacing w:after="0" w:line="233" w:lineRule="auto"/>
        <w:rPr>
          <w:sz w:val="20"/>
          <w:szCs w:val="20"/>
          <w:color w:val="auto"/>
        </w:rPr>
      </w:pPr>
      <w:r>
        <w:rPr>
          <w:rFonts w:ascii="Arial" w:cs="Arial" w:eastAsia="Arial" w:hAnsi="Arial"/>
          <w:sz w:val="20"/>
          <w:szCs w:val="20"/>
          <w:b w:val="1"/>
          <w:bCs w:val="1"/>
          <w:color w:val="auto"/>
        </w:rPr>
        <w:t>the size of the target patient population, and the willingness of the target patient population to try new therapies and of physicians to prescribe these therapies;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strength of marketing and distribution support and timing of market introduction of competitive products;</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publicity for our product candidates and competing products and treatments;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pricing and cost effectiveness;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the effectiveness of our sales and marketing strategies;</w:t>
      </w:r>
    </w:p>
    <w:p>
      <w:pPr>
        <w:spacing w:after="0" w:line="265" w:lineRule="exact"/>
        <w:rPr>
          <w:sz w:val="20"/>
          <w:szCs w:val="20"/>
          <w:color w:val="auto"/>
        </w:rPr>
      </w:pPr>
    </w:p>
    <w:p>
      <w:pPr>
        <w:jc w:val="both"/>
        <w:ind w:left="500" w:right="2300"/>
        <w:spacing w:after="0" w:line="672" w:lineRule="auto"/>
        <w:rPr>
          <w:sz w:val="20"/>
          <w:szCs w:val="20"/>
          <w:color w:val="auto"/>
        </w:rPr>
      </w:pPr>
      <w:r>
        <w:rPr>
          <w:rFonts w:ascii="Arial" w:cs="Arial" w:eastAsia="Arial" w:hAnsi="Arial"/>
          <w:sz w:val="15"/>
          <w:szCs w:val="15"/>
          <w:b w:val="1"/>
          <w:bCs w:val="1"/>
          <w:color w:val="auto"/>
        </w:rPr>
        <w:t>our ability to increase awareness of our product candidates through marketing efforts; our ability to obtain sufficient third-party coverage and adequate reimbursement; and</w:t>
      </w:r>
    </w:p>
    <w:p>
      <w:pPr>
        <w:spacing w:after="0" w:line="1" w:lineRule="exact"/>
        <w:rPr>
          <w:sz w:val="20"/>
          <w:szCs w:val="20"/>
          <w:color w:val="auto"/>
        </w:rPr>
      </w:pPr>
    </w:p>
    <w:p>
      <w:pPr>
        <w:ind w:left="500" w:right="40"/>
        <w:spacing w:after="0" w:line="234" w:lineRule="auto"/>
        <w:rPr>
          <w:sz w:val="20"/>
          <w:szCs w:val="20"/>
          <w:color w:val="auto"/>
        </w:rPr>
      </w:pPr>
      <w:r>
        <w:rPr>
          <w:rFonts w:ascii="Arial" w:cs="Arial" w:eastAsia="Arial" w:hAnsi="Arial"/>
          <w:sz w:val="20"/>
          <w:szCs w:val="20"/>
          <w:b w:val="1"/>
          <w:bCs w:val="1"/>
          <w:color w:val="auto"/>
        </w:rPr>
        <w:t>the likelihood that the FDA may impose additional requirements that limit the promotion, advertising, distribution or sales of our product candidates.</w:t>
      </w:r>
    </w:p>
    <w:p>
      <w:pPr>
        <w:spacing w:after="0" w:line="275" w:lineRule="exact"/>
        <w:rPr>
          <w:sz w:val="20"/>
          <w:szCs w:val="20"/>
          <w:color w:val="auto"/>
        </w:rPr>
      </w:pPr>
    </w:p>
    <w:p>
      <w:pPr>
        <w:spacing w:after="0" w:line="329" w:lineRule="auto"/>
        <w:rPr>
          <w:sz w:val="20"/>
          <w:szCs w:val="20"/>
          <w:color w:val="auto"/>
        </w:rPr>
      </w:pPr>
      <w:r>
        <w:rPr>
          <w:rFonts w:ascii="Arial" w:cs="Arial" w:eastAsia="Arial" w:hAnsi="Arial"/>
          <w:sz w:val="15"/>
          <w:szCs w:val="15"/>
          <w:b w:val="1"/>
          <w:bCs w:val="1"/>
          <w:color w:val="auto"/>
        </w:rPr>
        <w:t>The market acceptance of our product candidates also will depend in part on the market acceptance of other immunotherapies for the treatment of cancer. While a number of other cancer immunotherapies have received regulatory approval and are being commercialized, our approach to harnessing ISACs is novel. 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any of the product candidates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w:t>
      </w:r>
    </w:p>
    <w:p>
      <w:pPr>
        <w:sectPr>
          <w:pgSz w:w="12240" w:h="15840" w:orient="portrait"/>
          <w:cols w:equalWidth="0" w:num="1">
            <w:col w:w="9660"/>
          </w:cols>
          <w:pgMar w:left="1260" w:top="1089" w:right="1320" w:bottom="181" w:gutter="0" w:footer="0" w:header="0"/>
        </w:sect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33</w:t>
      </w:r>
    </w:p>
    <w:p>
      <w:pPr>
        <w:sectPr>
          <w:pgSz w:w="12240" w:h="15840" w:orient="portrait"/>
          <w:cols w:equalWidth="0" w:num="1">
            <w:col w:w="9660"/>
          </w:cols>
          <w:pgMar w:left="1260" w:top="1089" w:right="1320" w:bottom="181" w:gutter="0" w:footer="0" w:header="0"/>
          <w:type w:val="continuous"/>
        </w:sectPr>
      </w:pPr>
    </w:p>
    <w:bookmarkStart w:id="73" w:name="page74"/>
    <w:bookmarkEnd w:id="73"/>
    <w:p>
      <w:pPr>
        <w:ind w:right="900"/>
        <w:spacing w:after="0" w:line="234" w:lineRule="auto"/>
        <w:rPr>
          <w:sz w:val="20"/>
          <w:szCs w:val="20"/>
          <w:color w:val="auto"/>
        </w:rPr>
      </w:pPr>
      <w:r>
        <w:rPr>
          <w:rFonts w:ascii="Arial" w:cs="Arial" w:eastAsia="Arial" w:hAnsi="Arial"/>
          <w:sz w:val="20"/>
          <w:szCs w:val="20"/>
          <w:b w:val="1"/>
          <w:bCs w:val="1"/>
          <w:color w:val="auto"/>
        </w:rPr>
        <w:t>biopharmaceutical industry generally could also result in greater governmental regulation and stricter labeling requirements.</w:t>
      </w:r>
    </w:p>
    <w:p>
      <w:pPr>
        <w:spacing w:after="0" w:line="250" w:lineRule="exact"/>
        <w:rPr>
          <w:sz w:val="20"/>
          <w:szCs w:val="20"/>
          <w:color w:val="auto"/>
        </w:rPr>
      </w:pPr>
    </w:p>
    <w:p>
      <w:pPr>
        <w:jc w:val="both"/>
        <w:ind w:right="580"/>
        <w:spacing w:after="0" w:line="236" w:lineRule="auto"/>
        <w:rPr>
          <w:sz w:val="20"/>
          <w:szCs w:val="20"/>
          <w:color w:val="auto"/>
        </w:rPr>
      </w:pPr>
      <w:r>
        <w:rPr>
          <w:rFonts w:ascii="Arial" w:cs="Arial" w:eastAsia="Arial" w:hAnsi="Arial"/>
          <w:sz w:val="20"/>
          <w:szCs w:val="20"/>
          <w:b w:val="1"/>
          <w:bCs w:val="1"/>
          <w:color w:val="auto"/>
        </w:rPr>
        <w:t>If any one of our product candidates is approved but does not achieve an adequate level of acceptance by patients, physicians and third-party payors, we may not generate sufficient revenue to become or remain profitable and our business may be harmed.</w:t>
      </w:r>
    </w:p>
    <w:p>
      <w:pPr>
        <w:spacing w:after="0" w:line="253" w:lineRule="exact"/>
        <w:rPr>
          <w:sz w:val="20"/>
          <w:szCs w:val="20"/>
          <w:color w:val="auto"/>
        </w:rPr>
      </w:pPr>
    </w:p>
    <w:p>
      <w:pPr>
        <w:ind w:right="440"/>
        <w:spacing w:after="0" w:line="234" w:lineRule="auto"/>
        <w:rPr>
          <w:sz w:val="20"/>
          <w:szCs w:val="20"/>
          <w:color w:val="auto"/>
        </w:rPr>
      </w:pPr>
      <w:r>
        <w:rPr>
          <w:rFonts w:ascii="Arial" w:cs="Arial" w:eastAsia="Arial" w:hAnsi="Arial"/>
          <w:sz w:val="20"/>
          <w:szCs w:val="20"/>
          <w:b w:val="1"/>
          <w:bCs w:val="1"/>
          <w:color w:val="auto"/>
        </w:rPr>
        <w:t>Even if we obtain regulatory approval for our product candidates, they will remain subject to ongoing regulatory oversight.</w:t>
      </w:r>
    </w:p>
    <w:p>
      <w:pPr>
        <w:spacing w:after="0" w:line="252"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Even if we obtain regulatory approval for any of our product candidates, they will be subject to extensive and ongoing regulatory requirements for manufacturing processes, labeling, packaging, distribution, adverse event reporting, storage, advertising, promotion, sampling and record-keeping. These requirements include submissions of safety and other post-marketing information and reports, registration, as well as continued compliance with current good manufacturing practices, or cGMP, regulations and GCPs, for any clinical trials that we conduct post-approval, all of which 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For example, prescription drugs may be promoted only for the approved indications in accordance with the approved label.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Companies may only share truthful and not misleading information that is otherwise consistent with a product’s FDA approved labeling. The FDA may also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w:t>
      </w:r>
    </w:p>
    <w:p>
      <w:pPr>
        <w:spacing w:after="0" w:line="217"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Moreover, if there are changes in the application of legislation or regulatory policies, or if problems are discovered with a product or our manufacture of a product, or if we or one of our distributors, licensees or co-marketers fails to comply with regulatory requirements, the regulators could take various actions. These include:</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issuing warning or untitled letters;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seeking an injunction or imposing civil or criminal penalties or monetary fines;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suspension or imposition of restrictions on operations, including product manufacturing;</w:t>
      </w:r>
    </w:p>
    <w:p>
      <w:pPr>
        <w:spacing w:after="0" w:line="265" w:lineRule="exact"/>
        <w:rPr>
          <w:sz w:val="20"/>
          <w:szCs w:val="20"/>
          <w:color w:val="auto"/>
        </w:rPr>
      </w:pPr>
    </w:p>
    <w:p>
      <w:pPr>
        <w:ind w:left="500" w:right="420"/>
        <w:spacing w:after="0" w:line="234" w:lineRule="auto"/>
        <w:rPr>
          <w:sz w:val="20"/>
          <w:szCs w:val="20"/>
          <w:color w:val="auto"/>
        </w:rPr>
      </w:pPr>
      <w:r>
        <w:rPr>
          <w:rFonts w:ascii="Arial" w:cs="Arial" w:eastAsia="Arial" w:hAnsi="Arial"/>
          <w:sz w:val="20"/>
          <w:szCs w:val="20"/>
          <w:b w:val="1"/>
          <w:bCs w:val="1"/>
          <w:color w:val="auto"/>
        </w:rPr>
        <w:t>seizure or detention of products, refusal to permit the import or export of products or request that we initiate a product recall;</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suspension or withdrawal of our marketing authorizations;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suspension of any ongoing clinical trials;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refusal to approve pending applications or supplements to applications submitted by us; or</w:t>
      </w:r>
    </w:p>
    <w:p>
      <w:pPr>
        <w:spacing w:after="0" w:line="265" w:lineRule="exact"/>
        <w:rPr>
          <w:sz w:val="20"/>
          <w:szCs w:val="20"/>
          <w:color w:val="auto"/>
        </w:rPr>
      </w:pPr>
    </w:p>
    <w:p>
      <w:pPr>
        <w:ind w:left="500" w:right="120"/>
        <w:spacing w:after="0" w:line="234" w:lineRule="auto"/>
        <w:rPr>
          <w:sz w:val="20"/>
          <w:szCs w:val="20"/>
          <w:color w:val="auto"/>
        </w:rPr>
      </w:pPr>
      <w:r>
        <w:rPr>
          <w:rFonts w:ascii="Arial" w:cs="Arial" w:eastAsia="Arial" w:hAnsi="Arial"/>
          <w:sz w:val="20"/>
          <w:szCs w:val="20"/>
          <w:b w:val="1"/>
          <w:bCs w:val="1"/>
          <w:color w:val="auto"/>
        </w:rPr>
        <w:t>requiring us to conduct additional clinical trials, change our product labeling or submit additional applications for marketing authorization.</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34</w:t>
      </w:r>
    </w:p>
    <w:p>
      <w:pPr>
        <w:sectPr>
          <w:pgSz w:w="12240" w:h="15840" w:orient="portrait"/>
          <w:cols w:equalWidth="0" w:num="1">
            <w:col w:w="9700"/>
          </w:cols>
          <w:pgMar w:left="1260" w:top="1089" w:right="1280" w:bottom="181" w:gutter="0" w:footer="0" w:header="0"/>
          <w:type w:val="continuous"/>
        </w:sectPr>
      </w:pPr>
    </w:p>
    <w:bookmarkStart w:id="74" w:name="page75"/>
    <w:bookmarkEnd w:id="74"/>
    <w:p>
      <w:pPr>
        <w:ind w:right="200"/>
        <w:spacing w:after="0" w:line="235" w:lineRule="auto"/>
        <w:rPr>
          <w:sz w:val="20"/>
          <w:szCs w:val="20"/>
          <w:color w:val="auto"/>
        </w:rPr>
      </w:pPr>
      <w:r>
        <w:rPr>
          <w:rFonts w:ascii="Arial" w:cs="Arial" w:eastAsia="Arial" w:hAnsi="Arial"/>
          <w:sz w:val="20"/>
          <w:szCs w:val="20"/>
          <w:b w:val="1"/>
          <w:bCs w:val="1"/>
          <w:color w:val="auto"/>
        </w:rPr>
        <w:t>If any of these events occurs, our ability to sell such product may be impaired, and we may incur substantial additional expense to comply with regulatory requirements, which could harm our business, financial condition, results of operations and prospects.</w:t>
      </w:r>
    </w:p>
    <w:p>
      <w:pPr>
        <w:spacing w:after="0" w:line="253" w:lineRule="exact"/>
        <w:rPr>
          <w:sz w:val="20"/>
          <w:szCs w:val="20"/>
          <w:color w:val="auto"/>
        </w:rPr>
      </w:pPr>
    </w:p>
    <w:p>
      <w:pPr>
        <w:spacing w:after="0" w:line="297" w:lineRule="auto"/>
        <w:rPr>
          <w:sz w:val="20"/>
          <w:szCs w:val="20"/>
          <w:color w:val="auto"/>
        </w:rPr>
      </w:pPr>
      <w:r>
        <w:rPr>
          <w:rFonts w:ascii="Arial" w:cs="Arial" w:eastAsia="Arial" w:hAnsi="Arial"/>
          <w:sz w:val="17"/>
          <w:szCs w:val="17"/>
          <w:b w:val="1"/>
          <w:bCs w:val="1"/>
          <w:color w:val="auto"/>
        </w:rPr>
        <w:t>If any of our product candidates are approved for marketing and commercialization and we are unable to establish sales and marketing capabilities or enter into agreements with third parties to sell and market our product candidates, we will be unable to successfully commercialize our product candidates if and when they are approved.</w:t>
      </w:r>
    </w:p>
    <w:p>
      <w:pPr>
        <w:spacing w:after="0" w:line="206"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We have no sales, marketing or distribution capabilities or experience. To achieve commercial success for any approved product for which we retain sales and marketing responsibilities, we must either develop a sales and marketing organization, which would be expensive and time consuming, or outsource these functions to other third parties. In the future, we may choose to build a focused sales and marketing infrastructure to sell, or participate in sales activities with our collaborators for some of our product candidates if and when they are approved.</w:t>
      </w:r>
    </w:p>
    <w:p>
      <w:pPr>
        <w:spacing w:after="0" w:line="213"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b w:val="1"/>
          <w:bCs w:val="1"/>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that may inhibit our efforts to commercialize our product candidates on our own include: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our inability to recruit and retain adequate numbers of effective sales and marketing personnel;</w:t>
      </w:r>
    </w:p>
    <w:p>
      <w:pPr>
        <w:spacing w:after="0" w:line="265" w:lineRule="exact"/>
        <w:rPr>
          <w:sz w:val="20"/>
          <w:szCs w:val="20"/>
          <w:color w:val="auto"/>
        </w:rPr>
      </w:pPr>
    </w:p>
    <w:p>
      <w:pPr>
        <w:ind w:left="500" w:right="660"/>
        <w:spacing w:after="0" w:line="233" w:lineRule="auto"/>
        <w:rPr>
          <w:sz w:val="20"/>
          <w:szCs w:val="20"/>
          <w:color w:val="auto"/>
        </w:rPr>
      </w:pPr>
      <w:r>
        <w:rPr>
          <w:rFonts w:ascii="Arial" w:cs="Arial" w:eastAsia="Arial" w:hAnsi="Arial"/>
          <w:sz w:val="20"/>
          <w:szCs w:val="20"/>
          <w:b w:val="1"/>
          <w:bCs w:val="1"/>
          <w:color w:val="auto"/>
        </w:rPr>
        <w:t>the inability of sales personnel to obtain access to physicians or our failure to educate adequate numbers of physicians on the benefits of any future product candidates;</w:t>
      </w:r>
    </w:p>
    <w:p>
      <w:pPr>
        <w:spacing w:after="0" w:line="266" w:lineRule="exact"/>
        <w:rPr>
          <w:sz w:val="20"/>
          <w:szCs w:val="20"/>
          <w:color w:val="auto"/>
        </w:rPr>
      </w:pPr>
    </w:p>
    <w:p>
      <w:pPr>
        <w:ind w:left="500" w:right="900"/>
        <w:spacing w:after="0" w:line="254" w:lineRule="auto"/>
        <w:rPr>
          <w:sz w:val="20"/>
          <w:szCs w:val="20"/>
          <w:color w:val="auto"/>
        </w:rPr>
      </w:pPr>
      <w:r>
        <w:rPr>
          <w:rFonts w:ascii="Arial" w:cs="Arial" w:eastAsia="Arial" w:hAnsi="Arial"/>
          <w:sz w:val="19"/>
          <w:szCs w:val="19"/>
          <w:b w:val="1"/>
          <w:bCs w:val="1"/>
          <w:color w:val="auto"/>
        </w:rPr>
        <w:t>the lack of complementary products to be offered by sales personnel, which may put us at a competitive disadvantage relative to companies with more extensive product lines; and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unforeseen costs and expenses associated with creating an independent sales and marketing organization.</w:t>
      </w:r>
    </w:p>
    <w:p>
      <w:pPr>
        <w:spacing w:after="0" w:line="286"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b w:val="1"/>
          <w:bCs w:val="1"/>
          <w:color w:val="auto"/>
        </w:rPr>
        <w:t>If we enter into arrangements with third parties to perform sales, marketing and distribution services, our product revenues or the profitability of these product revenues to us are likely to be lower than if we were to market and sell any products that we develop ourselves. In addition, we may not be successful in entering into arrangements with third parties to sell and market our product candidates or may be unable to do so on terms that are favorable to us. In entering into third-party marketing or distribution arrangements, any revenue we receive will depend upon the efforts of the third parties and we cannot assure you that such third parties will establish adequate sales and distribution capabilities or devote the necessary resources and attention to sell and market our product candidates effectively. If we do not establish sales and marketing capabilities successfully, either on our own or in collaboration with third parties, we will not be successful in commercializing our product candidates.</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35</w:t>
      </w:r>
    </w:p>
    <w:p>
      <w:pPr>
        <w:sectPr>
          <w:pgSz w:w="12240" w:h="15840" w:orient="portrait"/>
          <w:cols w:equalWidth="0" w:num="1">
            <w:col w:w="9700"/>
          </w:cols>
          <w:pgMar w:left="1260" w:top="1089" w:right="1280" w:bottom="181" w:gutter="0" w:footer="0" w:header="0"/>
          <w:type w:val="continuous"/>
        </w:sectPr>
      </w:pPr>
    </w:p>
    <w:bookmarkStart w:id="75" w:name="page76"/>
    <w:bookmarkEnd w:id="75"/>
    <w:p>
      <w:pPr>
        <w:spacing w:after="0"/>
        <w:rPr>
          <w:sz w:val="20"/>
          <w:szCs w:val="20"/>
          <w:color w:val="auto"/>
        </w:rPr>
      </w:pPr>
      <w:r>
        <w:rPr>
          <w:rFonts w:ascii="Arial" w:cs="Arial" w:eastAsia="Arial" w:hAnsi="Arial"/>
          <w:sz w:val="20"/>
          <w:szCs w:val="20"/>
          <w:b w:val="1"/>
          <w:bCs w:val="1"/>
          <w:color w:val="auto"/>
        </w:rPr>
        <w:t>Risks Related to Our Dependence on Third Parties</w:t>
      </w:r>
    </w:p>
    <w:p>
      <w:pPr>
        <w:spacing w:after="0" w:line="251" w:lineRule="exact"/>
        <w:rPr>
          <w:sz w:val="20"/>
          <w:szCs w:val="20"/>
          <w:color w:val="auto"/>
        </w:rPr>
      </w:pPr>
    </w:p>
    <w:p>
      <w:pPr>
        <w:ind w:right="420"/>
        <w:spacing w:after="0" w:line="233" w:lineRule="auto"/>
        <w:rPr>
          <w:sz w:val="20"/>
          <w:szCs w:val="20"/>
          <w:color w:val="auto"/>
        </w:rPr>
      </w:pPr>
      <w:r>
        <w:rPr>
          <w:rFonts w:ascii="Arial" w:cs="Arial" w:eastAsia="Arial" w:hAnsi="Arial"/>
          <w:sz w:val="20"/>
          <w:szCs w:val="20"/>
          <w:b w:val="1"/>
          <w:bCs w:val="1"/>
          <w:color w:val="auto"/>
        </w:rPr>
        <w:t>We do not have our own manufacturing capabilities and rely on third parties to produce clinical and commercial supplies of BDC-4182 and our other current and future product candidates.</w:t>
      </w:r>
    </w:p>
    <w:p>
      <w:pPr>
        <w:spacing w:after="0" w:line="252"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We have limited experience in drug formulation and manufacturing and do not own or operate, and we do not expect to own or operate facilities for drug manufacturing, storage, distribution or testing. Our current third-party contract development and manufacturing organizations, or CDMOs, may be unable or unwilling to supply us with sufficient clinical and commercial grade quantities of our clinical materials due to production shortages or other supply interruptions resulting from pandemics or otherwise, because they are purchased by one of our competitors or another company that decides not to continue supplying us with these materials, or for other reasons. If one or more of these events occur and we are unable to timely establish an alternate supply from one or more third-party CDMOs, we could experience delays in our development efforts as we locate and qualify new manufacturers. Under such circumstances, we may be required to receive drug substance for use on a purchase order basis, and as such, there can be no assurance that we actually receive sufficient quantities. See also the risk factor titled “Our business, operations and clinical development plans and timelines and supply chain could be adversely affected by the effects of health epidemics, including pandemics, on the manufacturing, clinical trial and other business activities performed by us or by third parties with whom we conduct business, including our CDMOs, CROs, shippers and others.”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our reliance on third-party manufacturers exposes us to risks beyond our control, including the risk of:</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inability to meet our product specifications and quality requirements consistently;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delay or inability to procure or expand sufficient manufacturing capacity;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manufacturing and quality issues, including related to scale-up of manufacturing;</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costs and validation of new equipment and facilities required for additional scale-up;</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failure of the manufacturer to comply with cGMP and similar foreign standards;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inability to negotiate manufacturing agreements with third parties on commercially reasonable terms;</w:t>
      </w:r>
    </w:p>
    <w:p>
      <w:pPr>
        <w:spacing w:after="0" w:line="266" w:lineRule="exact"/>
        <w:rPr>
          <w:sz w:val="20"/>
          <w:szCs w:val="20"/>
          <w:color w:val="auto"/>
        </w:rPr>
      </w:pPr>
    </w:p>
    <w:p>
      <w:pPr>
        <w:ind w:left="500" w:right="40"/>
        <w:spacing w:after="0" w:line="234" w:lineRule="auto"/>
        <w:rPr>
          <w:sz w:val="20"/>
          <w:szCs w:val="20"/>
          <w:color w:val="auto"/>
        </w:rPr>
      </w:pPr>
      <w:r>
        <w:rPr>
          <w:rFonts w:ascii="Arial" w:cs="Arial" w:eastAsia="Arial" w:hAnsi="Arial"/>
          <w:sz w:val="20"/>
          <w:szCs w:val="20"/>
          <w:b w:val="1"/>
          <w:bCs w:val="1"/>
          <w:color w:val="auto"/>
        </w:rPr>
        <w:t>termination or nonrenewal of manufacturing agreements with third parties in a manner or at a time that is costly or damaging to us;</w:t>
      </w:r>
    </w:p>
    <w:p>
      <w:pPr>
        <w:spacing w:after="0" w:line="266" w:lineRule="exact"/>
        <w:rPr>
          <w:sz w:val="20"/>
          <w:szCs w:val="20"/>
          <w:color w:val="auto"/>
        </w:rPr>
      </w:pPr>
    </w:p>
    <w:p>
      <w:pPr>
        <w:ind w:left="500" w:right="420"/>
        <w:spacing w:after="0" w:line="296" w:lineRule="auto"/>
        <w:rPr>
          <w:sz w:val="20"/>
          <w:szCs w:val="20"/>
          <w:color w:val="auto"/>
        </w:rPr>
      </w:pPr>
      <w:r>
        <w:rPr>
          <w:rFonts w:ascii="Arial" w:cs="Arial" w:eastAsia="Arial" w:hAnsi="Arial"/>
          <w:sz w:val="17"/>
          <w:szCs w:val="17"/>
          <w:b w:val="1"/>
          <w:bCs w:val="1"/>
          <w:color w:val="auto"/>
        </w:rPr>
        <w:t>reliance on a limited number of sources, and in some cases, single sources for components, such that if we are unable to secure a sufficient supply of these drug components, we will be unable to manufacture and sell our product candidates in a timely fashion, in sufficient quantities or under acceptable terms;</w:t>
      </w:r>
    </w:p>
    <w:p>
      <w:pPr>
        <w:spacing w:after="0" w:line="220" w:lineRule="exact"/>
        <w:rPr>
          <w:sz w:val="20"/>
          <w:szCs w:val="20"/>
          <w:color w:val="auto"/>
        </w:rPr>
      </w:pPr>
    </w:p>
    <w:p>
      <w:pPr>
        <w:ind w:left="500" w:right="180"/>
        <w:spacing w:after="0" w:line="234" w:lineRule="auto"/>
        <w:rPr>
          <w:sz w:val="20"/>
          <w:szCs w:val="20"/>
          <w:color w:val="auto"/>
        </w:rPr>
      </w:pPr>
      <w:r>
        <w:rPr>
          <w:rFonts w:ascii="Arial" w:cs="Arial" w:eastAsia="Arial" w:hAnsi="Arial"/>
          <w:sz w:val="20"/>
          <w:szCs w:val="20"/>
          <w:b w:val="1"/>
          <w:bCs w:val="1"/>
          <w:color w:val="auto"/>
        </w:rPr>
        <w:t>lack of qualified backup suppliers for those components that are currently purchased from a sole or single source supplier;</w:t>
      </w:r>
    </w:p>
    <w:p>
      <w:pPr>
        <w:spacing w:after="0" w:line="266" w:lineRule="exact"/>
        <w:rPr>
          <w:sz w:val="20"/>
          <w:szCs w:val="20"/>
          <w:color w:val="auto"/>
        </w:rPr>
      </w:pPr>
    </w:p>
    <w:p>
      <w:pPr>
        <w:ind w:left="500" w:right="40"/>
        <w:spacing w:after="0" w:line="235" w:lineRule="auto"/>
        <w:rPr>
          <w:sz w:val="20"/>
          <w:szCs w:val="20"/>
          <w:color w:val="auto"/>
        </w:rPr>
      </w:pPr>
      <w:r>
        <w:rPr>
          <w:rFonts w:ascii="Arial" w:cs="Arial" w:eastAsia="Arial" w:hAnsi="Arial"/>
          <w:sz w:val="20"/>
          <w:szCs w:val="20"/>
          <w:b w:val="1"/>
          <w:bCs w:val="1"/>
          <w:color w:val="auto"/>
        </w:rPr>
        <w:t>operations of our third-party manufacturers or suppliers could be disrupted by conditions unrelated to our business or operations, including the bankruptcy of the manufacturer or supplier or the issuance of a FDA Form 483 notice or warning letter;</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carrier disruptions or increased costs that are beyond our control;</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failure to deliver our products under specified storage conditions and in a timely manner; and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other events or factors, including those resulting from geopolitical events, or responses to these events.</w:t>
      </w:r>
    </w:p>
    <w:p>
      <w:pPr>
        <w:sectPr>
          <w:pgSz w:w="12240" w:h="15840" w:orient="portrait"/>
          <w:cols w:equalWidth="0" w:num="1">
            <w:col w:w="9700"/>
          </w:cols>
          <w:pgMar w:left="1260" w:top="107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36</w:t>
      </w:r>
    </w:p>
    <w:p>
      <w:pPr>
        <w:sectPr>
          <w:pgSz w:w="12240" w:h="15840" w:orient="portrait"/>
          <w:cols w:equalWidth="0" w:num="1">
            <w:col w:w="9700"/>
          </w:cols>
          <w:pgMar w:left="1260" w:top="1079" w:right="1280" w:bottom="181" w:gutter="0" w:footer="0" w:header="0"/>
          <w:type w:val="continuous"/>
        </w:sectPr>
      </w:pPr>
    </w:p>
    <w:bookmarkStart w:id="76" w:name="page77"/>
    <w:bookmarkEnd w:id="76"/>
    <w:p>
      <w:pPr>
        <w:spacing w:after="0" w:line="328" w:lineRule="auto"/>
        <w:rPr>
          <w:sz w:val="20"/>
          <w:szCs w:val="20"/>
          <w:color w:val="auto"/>
        </w:rPr>
      </w:pPr>
      <w:r>
        <w:rPr>
          <w:rFonts w:ascii="Arial" w:cs="Arial" w:eastAsia="Arial" w:hAnsi="Arial"/>
          <w:sz w:val="15"/>
          <w:szCs w:val="15"/>
          <w:b w:val="1"/>
          <w:bCs w:val="1"/>
          <w:color w:val="auto"/>
        </w:rPr>
        <w:t>Some of these events could be the basis for FDA action, including injunction, recall, seizure or total or partial suspension of production. In addition, our third-party manufacturers and suppliers are subject to FDA inspection from time to time. Failure by our third-party manufacturers and suppliers to pass such inspections and otherwise satisfactorily complete the FDA approval regimen with respect to our product candidate may result in regulatory actions such as the issuance of FDA Form 483 notices of observations, warning letters or injunctions or the loss of operating licenses. 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the regulatory action, our clinical or commercial supply of drug and packaging and other services could be interrupted or limited, which could harm our business.</w:t>
      </w:r>
    </w:p>
    <w:p>
      <w:pPr>
        <w:spacing w:after="0" w:line="200" w:lineRule="exact"/>
        <w:rPr>
          <w:sz w:val="20"/>
          <w:szCs w:val="20"/>
          <w:color w:val="auto"/>
        </w:rPr>
      </w:pPr>
    </w:p>
    <w:p>
      <w:pPr>
        <w:spacing w:after="0" w:line="2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color w:val="auto"/>
        </w:rPr>
        <w:t>In addition, our CDMOs are or may be engaged with other companies to supply and manufacture materials or products for such companies, which also exposes our suppliers and manufacturers to regulatory risks for the production of such materials and products. As a result, failure to meet the regulatory requirements for the production of those materials and products may also affect the regulatory clearance of a contract supplier’s or manufacturer’s facility. If the FDA or a comparable foreign regulatory agency does not approve these facilities for the supply or manufacture of our product candidates, or if it withdraws its approval in the future, we may need to find alternative supply or manufacturing facilities, which would negatively impact our ability to develop, obtain regulatory approval of or market our product candidates, if approved.</w:t>
      </w:r>
    </w:p>
    <w:p>
      <w:pPr>
        <w:spacing w:after="0" w:line="232" w:lineRule="exact"/>
        <w:rPr>
          <w:sz w:val="20"/>
          <w:szCs w:val="20"/>
          <w:color w:val="auto"/>
        </w:rPr>
      </w:pPr>
    </w:p>
    <w:p>
      <w:pPr>
        <w:spacing w:after="0" w:line="324" w:lineRule="auto"/>
        <w:rPr>
          <w:sz w:val="20"/>
          <w:szCs w:val="20"/>
          <w:color w:val="auto"/>
        </w:rPr>
      </w:pPr>
      <w:r>
        <w:rPr>
          <w:rFonts w:ascii="Arial" w:cs="Arial" w:eastAsia="Arial" w:hAnsi="Arial"/>
          <w:sz w:val="15"/>
          <w:szCs w:val="15"/>
          <w:b w:val="1"/>
          <w:bCs w:val="1"/>
          <w:color w:val="auto"/>
        </w:rPr>
        <w:t>As we prepare for later-stage clinical trials and potential commercialization, we will need to take steps to increase the scale of production of our product candidates, which may include transferring production to new third-party suppliers or manufacturers. In order to conduct larger or late-stage scale clinical trials for our product candidates and supply sufficient commercial quantities of the resulting drug product and its components, if that product candidate is approved for sale, our CDMOs and suppliers will need to produce our product candidates in larger quantities, more cost effectively and, in certain cases, at higher yields than they currently achieve. These third-party contractors may not be able to successfully increase the manufacturing capacity for any such product candidates in a timely or cost-effective manner or at all. Significant scale up of manufacturing may require additional processes, technologies and validation studies, which are costly, may not be successful and which the FDA and foreign regulatory authorities must review and approve. In addition, quality issues may arise during those scale-up activities because of the inherent properties of a product candidate itself or of a product candidate in combination with other components added during the manufacturing and packaging process, or during shipping and storage of the active pharmaceutical ingredients or the finished product. If our third-party CDMOs are unable to successfully scale up the manufacture of any of our product candidates in sufficient quality and quantity and at commercially reasonable prices, and we are unable to find one or more replacement suppliers or manufacturers capable of production at a substantially equivalent cost in substantially equivalent volumes and quality, and we are unable to successfully transfer the processes on a timely basis, the development of that product candidate and regulatory approval or commercial launch for any resulting products may be delayed, or there may be a shortage in supply, either of which could significantly harm our business, financial condition, results of operations and prospects.</w:t>
      </w:r>
    </w:p>
    <w:p>
      <w:pPr>
        <w:spacing w:after="0" w:line="200" w:lineRule="exact"/>
        <w:rPr>
          <w:sz w:val="20"/>
          <w:szCs w:val="20"/>
          <w:color w:val="auto"/>
        </w:rPr>
      </w:pPr>
    </w:p>
    <w:p>
      <w:pPr>
        <w:spacing w:after="0" w:line="221" w:lineRule="exact"/>
        <w:rPr>
          <w:sz w:val="20"/>
          <w:szCs w:val="20"/>
          <w:color w:val="auto"/>
        </w:rPr>
      </w:pPr>
    </w:p>
    <w:p>
      <w:pPr>
        <w:ind w:right="560"/>
        <w:spacing w:after="0" w:line="234" w:lineRule="auto"/>
        <w:rPr>
          <w:sz w:val="20"/>
          <w:szCs w:val="20"/>
          <w:color w:val="auto"/>
        </w:rPr>
      </w:pPr>
      <w:r>
        <w:rPr>
          <w:rFonts w:ascii="Arial" w:cs="Arial" w:eastAsia="Arial" w:hAnsi="Arial"/>
          <w:sz w:val="20"/>
          <w:szCs w:val="20"/>
          <w:b w:val="1"/>
          <w:bCs w:val="1"/>
          <w:color w:val="auto"/>
        </w:rPr>
        <w:t>Any of these events could lead to clinical trial delays, failure to obtain regulatory approval or impact our ability to successfully commercialize any potential future product candidates.</w:t>
      </w:r>
    </w:p>
    <w:p>
      <w:pPr>
        <w:spacing w:after="0" w:line="250" w:lineRule="exact"/>
        <w:rPr>
          <w:sz w:val="20"/>
          <w:szCs w:val="20"/>
          <w:color w:val="auto"/>
        </w:rPr>
      </w:pPr>
    </w:p>
    <w:p>
      <w:pPr>
        <w:ind w:right="200"/>
        <w:spacing w:after="0" w:line="234" w:lineRule="auto"/>
        <w:rPr>
          <w:sz w:val="20"/>
          <w:szCs w:val="20"/>
          <w:color w:val="auto"/>
        </w:rPr>
      </w:pPr>
      <w:r>
        <w:rPr>
          <w:rFonts w:ascii="Arial" w:cs="Arial" w:eastAsia="Arial" w:hAnsi="Arial"/>
          <w:sz w:val="20"/>
          <w:szCs w:val="20"/>
          <w:b w:val="1"/>
          <w:bCs w:val="1"/>
          <w:color w:val="auto"/>
        </w:rPr>
        <w:t>We rely on third parties to conduct our preclinical studies and clinical trials and if these third parties perform in an unsatisfactory manner, our business could be substantially harmed.</w:t>
      </w:r>
    </w:p>
    <w:p>
      <w:pPr>
        <w:spacing w:after="0" w:line="252" w:lineRule="exact"/>
        <w:rPr>
          <w:sz w:val="20"/>
          <w:szCs w:val="20"/>
          <w:color w:val="auto"/>
        </w:rPr>
      </w:pPr>
    </w:p>
    <w:p>
      <w:pPr>
        <w:ind w:right="120"/>
        <w:spacing w:after="0" w:line="253" w:lineRule="auto"/>
        <w:rPr>
          <w:sz w:val="20"/>
          <w:szCs w:val="20"/>
          <w:color w:val="auto"/>
        </w:rPr>
      </w:pPr>
      <w:r>
        <w:rPr>
          <w:rFonts w:ascii="Arial" w:cs="Arial" w:eastAsia="Arial" w:hAnsi="Arial"/>
          <w:sz w:val="19"/>
          <w:szCs w:val="19"/>
          <w:b w:val="1"/>
          <w:bCs w:val="1"/>
          <w:color w:val="auto"/>
        </w:rPr>
        <w:t>We intend to conduct our future clinical trials using our own clinical resources while also leveraging expertise and assistance from CROs as appropriate. We do not currently have the ability to independently conduct large-scale clinical trials, such as a Phase 3 clinical trial, without outside assistance.</w:t>
      </w:r>
    </w:p>
    <w:p>
      <w:pPr>
        <w:spacing w:after="0" w:line="240"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b w:val="1"/>
          <w:bCs w:val="1"/>
          <w:color w:val="auto"/>
        </w:rPr>
        <w:t>We have relied upon and plan to continue to rely upon medical institutions, clinical investigators, contract laboratories and other third parties, such as CROs, to conduct or assist us in conducting GCP-compliant clinical trials on our product candidates properly and on time and may not currently have all of the necessary contractual relationships in place to do so. Once we have established contractual relationships with such third-party CROs, we will have only limited control over their actual performance of these activities.</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37</w:t>
      </w:r>
    </w:p>
    <w:p>
      <w:pPr>
        <w:sectPr>
          <w:pgSz w:w="12240" w:h="15840" w:orient="portrait"/>
          <w:cols w:equalWidth="0" w:num="1">
            <w:col w:w="9700"/>
          </w:cols>
          <w:pgMar w:left="1260" w:top="1089" w:right="1280" w:bottom="181" w:gutter="0" w:footer="0" w:header="0"/>
          <w:type w:val="continuous"/>
        </w:sectPr>
      </w:pPr>
    </w:p>
    <w:bookmarkStart w:id="77" w:name="page78"/>
    <w:bookmarkEnd w:id="77"/>
    <w:p>
      <w:pPr>
        <w:ind w:right="20"/>
        <w:spacing w:after="0" w:line="284" w:lineRule="auto"/>
        <w:rPr>
          <w:sz w:val="20"/>
          <w:szCs w:val="20"/>
          <w:color w:val="auto"/>
        </w:rPr>
      </w:pPr>
      <w:r>
        <w:rPr>
          <w:rFonts w:ascii="Arial" w:cs="Arial" w:eastAsia="Arial" w:hAnsi="Arial"/>
          <w:sz w:val="17"/>
          <w:szCs w:val="17"/>
          <w:b w:val="1"/>
          <w:bCs w:val="1"/>
          <w:color w:val="auto"/>
        </w:rPr>
        <w:t>We and our CROs and other vendors are required to comply with current good manufacturing practice, or cGMP, good clinical practice, or GCP, and good laboratory practice, or GLP, which are regulations and guidelines enforced by the FDA and any comparable foreign regulatory authorities for all of our product candidates in preclinical and clinical development. Regulatory authorities enforce these regulations through periodic inspections of trial sponsors, principal investigators, clinical trial sites and other contractors. Although we rely on CROs to conduct any current or planned GLP-compliant preclinical studies and GCP-compliant clinical trials and have limited influence over their actual performance, we remain responsible for ensuring that each of our preclinical studies and clinical trials is conducted in accordance with its investigational plan and protocol and applicable laws and regulations, and our reliance on the CROs does not relieve us of our regulatory responsibilities. If we or any of our CROs or vendors fail to comply with applicable regulations, the data generated in our preclinical studies and clinical trials may be deemed unreliable and the FDA or any comparable foreign regulatory agency may require us to perform additional preclinical studies and clinical trials before approving our marketing applications. We cannot assure you that upon inspection by a given regulatory agency, such regulatory agency will determine that all of our clinical trials comply with GCP regulations. In addition, our clinical trials must be conducted with products produced under cGMP requirements. Our failure to comply with these requirements may require us to repeat clinical trials, which would delay the regulatory approval process.</w:t>
      </w:r>
    </w:p>
    <w:p>
      <w:pPr>
        <w:spacing w:after="0" w:line="219" w:lineRule="exact"/>
        <w:rPr>
          <w:sz w:val="20"/>
          <w:szCs w:val="20"/>
          <w:color w:val="auto"/>
        </w:rPr>
      </w:pPr>
    </w:p>
    <w:p>
      <w:pPr>
        <w:spacing w:after="0" w:line="325" w:lineRule="auto"/>
        <w:rPr>
          <w:sz w:val="20"/>
          <w:szCs w:val="20"/>
          <w:color w:val="auto"/>
        </w:rPr>
      </w:pPr>
      <w:r>
        <w:rPr>
          <w:rFonts w:ascii="Arial" w:cs="Arial" w:eastAsia="Arial" w:hAnsi="Arial"/>
          <w:sz w:val="15"/>
          <w:szCs w:val="15"/>
          <w:b w:val="1"/>
          <w:bCs w:val="1"/>
          <w:color w:val="auto"/>
        </w:rPr>
        <w:t>While we will have agreements governing their activities, our CROs will not be our employees, and we will not be able to control whether or not they devote sufficient time and resources to our future preclinical and clinical programs. These CROs may also have relationships with other commercial entities, including our competitors, for whom they may also be conducting clinical trials, or other drug development activities which could harm our business. We face the risk of potential unauthorized disclosure, infringement, misappropriation or other violation of our intellectual property by CROs, which may reduce our trade secret protection and allow our potential competitors, and other third parties, to access and exploit our proprietary technology. CROs also may use our proprietary information and intellectual property in such a way as to invite litigation or other intellectual property-related proceedings that could jeopardize or invalidate our proprietary information and intellectual property.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 our clinical trials may be extended, delayed or terminated, the clinical data generated in our clinical trials may be deemed unreliable,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w:t>
      </w:r>
    </w:p>
    <w:p>
      <w:pPr>
        <w:spacing w:after="0" w:line="200" w:lineRule="exact"/>
        <w:rPr>
          <w:sz w:val="20"/>
          <w:szCs w:val="20"/>
          <w:color w:val="auto"/>
        </w:rPr>
      </w:pPr>
    </w:p>
    <w:p>
      <w:pPr>
        <w:spacing w:after="0" w:line="221"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b w:val="1"/>
          <w:bCs w:val="1"/>
          <w:color w:val="auto"/>
        </w:rPr>
        <w:t>If our relationships with these CROs terminate, we may not be able to enter into arrangements with alternative CROs or do so on commercially reasonable terms. Switching or adding additional CROs involves substantial cost and requires management time and focus and could delay development and commercialization of our product candidates. In addition, there is a natural transition period when a new CRO commences work. As a result, delays occur, which can negatively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negative impact on our business and financial condition.</w:t>
      </w:r>
    </w:p>
    <w:p>
      <w:pPr>
        <w:spacing w:after="0" w:line="214" w:lineRule="exact"/>
        <w:rPr>
          <w:sz w:val="20"/>
          <w:szCs w:val="20"/>
          <w:color w:val="auto"/>
        </w:rPr>
      </w:pPr>
    </w:p>
    <w:p>
      <w:pPr>
        <w:ind w:right="240"/>
        <w:spacing w:after="0" w:line="233" w:lineRule="auto"/>
        <w:rPr>
          <w:sz w:val="20"/>
          <w:szCs w:val="20"/>
          <w:color w:val="auto"/>
        </w:rPr>
      </w:pPr>
      <w:r>
        <w:rPr>
          <w:rFonts w:ascii="Arial" w:cs="Arial" w:eastAsia="Arial" w:hAnsi="Arial"/>
          <w:sz w:val="20"/>
          <w:szCs w:val="20"/>
          <w:b w:val="1"/>
          <w:bCs w:val="1"/>
          <w:color w:val="auto"/>
        </w:rPr>
        <w:t>If we are not able to maintain our current collaborations and establish further collaborations, we may have to alter some of our future development and commercialization plans.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We have established collaboration agreements with third parties to develop our current and potential future product candidates. These include our collaborations with Toray Industries, Inc., or Toray, Genmab A/S, or Genmab, and Innovent Biologics, Inc., or Innovent. We may enter into other collaboration agreements with pharmaceutical and biotechnology companies for the future development and potential commercialization of our product candidates. We will likely have limited control over the amount and timing of resources that our collaborators dedicate to the development or commercialization of any product candidates we may seek to develop with them. We cannot predict the success of any collaboration that we have entered into or will enter into.</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38</w:t>
      </w:r>
    </w:p>
    <w:p>
      <w:pPr>
        <w:sectPr>
          <w:pgSz w:w="12240" w:h="15840" w:orient="portrait"/>
          <w:cols w:equalWidth="0" w:num="1">
            <w:col w:w="9700"/>
          </w:cols>
          <w:pgMar w:left="1260" w:top="1089" w:right="1280" w:bottom="181" w:gutter="0" w:footer="0" w:header="0"/>
          <w:type w:val="continuous"/>
        </w:sectPr>
      </w:pPr>
    </w:p>
    <w:bookmarkStart w:id="78" w:name="page79"/>
    <w:bookmarkEnd w:id="78"/>
    <w:p>
      <w:pPr>
        <w:ind w:right="40"/>
        <w:spacing w:after="0" w:line="284" w:lineRule="auto"/>
        <w:rPr>
          <w:sz w:val="20"/>
          <w:szCs w:val="20"/>
          <w:color w:val="auto"/>
        </w:rPr>
      </w:pPr>
      <w:r>
        <w:rPr>
          <w:rFonts w:ascii="Arial" w:cs="Arial" w:eastAsia="Arial" w:hAnsi="Arial"/>
          <w:sz w:val="17"/>
          <w:szCs w:val="17"/>
          <w:b w:val="1"/>
          <w:bCs w:val="1"/>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16"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b w:val="1"/>
          <w:bCs w:val="1"/>
          <w:color w:val="auto"/>
        </w:rPr>
        <w:t>We may not be able to negotiate further collaborations on a timely basis, on acceptable terms, or at all. Even if we are able to obtain a license to intellectual property of interest, we may not be able to secure exclusive rights, in which case others could use the same rights and compete with us. Our existing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and protect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Doing so will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Regulatory Compliance</w:t>
      </w:r>
    </w:p>
    <w:p>
      <w:pPr>
        <w:spacing w:after="0" w:line="251" w:lineRule="exact"/>
        <w:rPr>
          <w:sz w:val="20"/>
          <w:szCs w:val="20"/>
          <w:color w:val="auto"/>
        </w:rPr>
      </w:pPr>
    </w:p>
    <w:p>
      <w:pPr>
        <w:ind w:right="640"/>
        <w:spacing w:after="0" w:line="312" w:lineRule="auto"/>
        <w:rPr>
          <w:sz w:val="20"/>
          <w:szCs w:val="20"/>
          <w:color w:val="auto"/>
        </w:rPr>
      </w:pPr>
      <w:r>
        <w:rPr>
          <w:rFonts w:ascii="Arial" w:cs="Arial" w:eastAsia="Arial" w:hAnsi="Arial"/>
          <w:sz w:val="17"/>
          <w:szCs w:val="17"/>
          <w:b w:val="1"/>
          <w:bCs w:val="1"/>
          <w:color w:val="auto"/>
        </w:rPr>
        <w:t>Enacted and future legislation may increase the difficulty and cost for us to obtain marketing approval of and commercialize our product candidates and affect the prices we may charge for such product candidates.</w:t>
      </w:r>
    </w:p>
    <w:p>
      <w:pPr>
        <w:spacing w:after="0" w:line="193" w:lineRule="exact"/>
        <w:rPr>
          <w:sz w:val="20"/>
          <w:szCs w:val="20"/>
          <w:color w:val="auto"/>
        </w:rPr>
      </w:pPr>
    </w:p>
    <w:p>
      <w:pPr>
        <w:jc w:val="both"/>
        <w:ind w:right="40"/>
        <w:spacing w:after="0" w:line="353" w:lineRule="auto"/>
        <w:rPr>
          <w:sz w:val="20"/>
          <w:szCs w:val="20"/>
          <w:color w:val="auto"/>
        </w:rPr>
      </w:pPr>
      <w:r>
        <w:rPr>
          <w:rFonts w:ascii="Arial" w:cs="Arial" w:eastAsia="Arial" w:hAnsi="Arial"/>
          <w:sz w:val="15"/>
          <w:szCs w:val="15"/>
          <w:b w:val="1"/>
          <w:bCs w:val="1"/>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168"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In March 2010, the Patient Protection and Affordable Care Act, as amended by the Health Care and Education Reconciliation Act of 2010, or collectively, the ACA, was enacted, which includes measures that have significantly changed the way health care is financed by both governmental and private insurers. There have been executive, judicial and congressional challenges and amendments to certain aspects of the ACA.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It is possible that the ACA will be subject to judicial or congressional challenges in the future. It is unclear how any such challenges and the healthcare reform measures of the current administration will impact the ACA.</w:t>
      </w:r>
    </w:p>
    <w:p>
      <w:pPr>
        <w:sectPr>
          <w:pgSz w:w="12240" w:h="15840" w:orient="portrait"/>
          <w:cols w:equalWidth="0" w:num="1">
            <w:col w:w="9680"/>
          </w:cols>
          <w:pgMar w:left="1260" w:top="1089" w:right="13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39</w:t>
      </w:r>
    </w:p>
    <w:p>
      <w:pPr>
        <w:sectPr>
          <w:pgSz w:w="12240" w:h="15840" w:orient="portrait"/>
          <w:cols w:equalWidth="0" w:num="1">
            <w:col w:w="9680"/>
          </w:cols>
          <w:pgMar w:left="1260" w:top="1089" w:right="1300" w:bottom="181" w:gutter="0" w:footer="0" w:header="0"/>
          <w:type w:val="continuous"/>
        </w:sectPr>
      </w:pPr>
    </w:p>
    <w:bookmarkStart w:id="79" w:name="page80"/>
    <w:bookmarkEnd w:id="79"/>
    <w:p>
      <w:pPr>
        <w:ind w:right="120"/>
        <w:spacing w:after="0" w:line="288" w:lineRule="auto"/>
        <w:rPr>
          <w:sz w:val="20"/>
          <w:szCs w:val="20"/>
          <w:color w:val="auto"/>
        </w:rPr>
      </w:pPr>
      <w:r>
        <w:rPr>
          <w:rFonts w:ascii="Arial" w:cs="Arial" w:eastAsia="Arial" w:hAnsi="Arial"/>
          <w:sz w:val="17"/>
          <w:szCs w:val="17"/>
          <w:b w:val="1"/>
          <w:bCs w:val="1"/>
          <w:color w:val="auto"/>
        </w:rPr>
        <w:t>In addition, other legislative changes have been proposed and adopted since the ACA was enacted. For example,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 legislation’s automatic reduction to several government programs. This includes aggregate reductions to Medicare payments to providers of, on average, 2% per fiscal year until 2032, unless Congress takes additional action.</w:t>
      </w:r>
    </w:p>
    <w:p>
      <w:pPr>
        <w:spacing w:after="0" w:line="203"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color w:val="auto"/>
        </w:rPr>
        <w:t>The current administration is pursuing policies to reduce regulations and expenditures across government agencies including at HHS, the FDA, the Centers for Medicare &amp; Medicaid Services, and related agencies. These actions, presently directed by executive orders or memoranda from the Office of Management and Budget, may propose policy changes that create additional uncertainty for our business. For example, the current administration has announced agreements with pharmaceutical companies that require the drug manufacturers to offer, through a direct-to-consumer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in Loper Bright Enterprises v. Raimondo, the U.S.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228"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b w:val="1"/>
          <w:bCs w:val="1"/>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28"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b w:val="1"/>
          <w:b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25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b w:val="1"/>
          <w:bCs w:val="1"/>
          <w:color w:val="auto"/>
        </w:rPr>
        <w:t>Although we do not currently have any products on the market, our operations may be, directly or indirectly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and other parties through which we may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include:</w:t>
      </w:r>
    </w:p>
    <w:p>
      <w:pPr>
        <w:spacing w:after="0" w:line="228" w:lineRule="exact"/>
        <w:rPr>
          <w:sz w:val="20"/>
          <w:szCs w:val="20"/>
          <w:color w:val="auto"/>
        </w:rPr>
      </w:pPr>
    </w:p>
    <w:p>
      <w:pPr>
        <w:jc w:val="right"/>
        <w:ind w:left="500" w:right="180"/>
        <w:spacing w:after="0" w:line="353" w:lineRule="auto"/>
        <w:rPr>
          <w:sz w:val="20"/>
          <w:szCs w:val="20"/>
          <w:color w:val="auto"/>
        </w:rPr>
      </w:pPr>
      <w:r>
        <w:rPr>
          <w:rFonts w:ascii="Arial" w:cs="Arial" w:eastAsia="Arial" w:hAnsi="Arial"/>
          <w:sz w:val="15"/>
          <w:szCs w:val="15"/>
          <w:b w:val="1"/>
          <w:bCs w:val="1"/>
          <w:color w:val="auto"/>
        </w:rPr>
        <w:t>the U.S. federal Anti-Kickback Statute, which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w:t>
      </w:r>
    </w:p>
    <w:p>
      <w:pPr>
        <w:sectPr>
          <w:pgSz w:w="12240" w:h="15840" w:orient="portrait"/>
          <w:cols w:equalWidth="0" w:num="1">
            <w:col w:w="9680"/>
          </w:cols>
          <w:pgMar w:left="1260" w:top="1089" w:right="1300" w:bottom="181" w:gutter="0" w:footer="0" w:header="0"/>
        </w:sect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40</w:t>
      </w:r>
    </w:p>
    <w:p>
      <w:pPr>
        <w:sectPr>
          <w:pgSz w:w="12240" w:h="15840" w:orient="portrait"/>
          <w:cols w:equalWidth="0" w:num="1">
            <w:col w:w="9680"/>
          </w:cols>
          <w:pgMar w:left="1260" w:top="1089" w:right="1300" w:bottom="181" w:gutter="0" w:footer="0" w:header="0"/>
          <w:type w:val="continuous"/>
        </w:sectPr>
      </w:pPr>
    </w:p>
    <w:bookmarkStart w:id="80" w:name="page81"/>
    <w:bookmarkEnd w:id="80"/>
    <w:p>
      <w:pPr>
        <w:ind w:left="320" w:right="20"/>
        <w:spacing w:after="0" w:line="252" w:lineRule="auto"/>
        <w:rPr>
          <w:sz w:val="20"/>
          <w:szCs w:val="20"/>
          <w:color w:val="auto"/>
        </w:rPr>
      </w:pPr>
      <w:r>
        <w:rPr>
          <w:rFonts w:ascii="Arial" w:cs="Arial" w:eastAsia="Arial" w:hAnsi="Arial"/>
          <w:sz w:val="19"/>
          <w:szCs w:val="19"/>
          <w:b w:val="1"/>
          <w:bCs w:val="1"/>
          <w:color w:val="auto"/>
        </w:rPr>
        <w:t>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233" w:lineRule="exact"/>
        <w:rPr>
          <w:sz w:val="20"/>
          <w:szCs w:val="20"/>
          <w:color w:val="auto"/>
        </w:rPr>
      </w:pPr>
    </w:p>
    <w:p>
      <w:pPr>
        <w:ind w:left="320" w:right="20"/>
        <w:spacing w:after="0" w:line="286" w:lineRule="auto"/>
        <w:rPr>
          <w:sz w:val="20"/>
          <w:szCs w:val="20"/>
          <w:color w:val="auto"/>
        </w:rPr>
      </w:pPr>
      <w:r>
        <w:rPr>
          <w:rFonts w:ascii="Arial" w:cs="Arial" w:eastAsia="Arial" w:hAnsi="Arial"/>
          <w:sz w:val="17"/>
          <w:szCs w:val="17"/>
          <w:b w:val="1"/>
          <w:bCs w:val="1"/>
          <w:color w:val="auto"/>
        </w:rPr>
        <w:t>the U.S. federal false claims, including the False Claims Act, which can be enforced through whistleblower actions, and civil monetary penalties laws, which, among other things, impose criminal and civil penalties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231" w:lineRule="exact"/>
        <w:rPr>
          <w:sz w:val="20"/>
          <w:szCs w:val="20"/>
          <w:color w:val="auto"/>
        </w:rPr>
      </w:pPr>
    </w:p>
    <w:p>
      <w:pPr>
        <w:ind w:left="320" w:right="20"/>
        <w:spacing w:after="0" w:line="332" w:lineRule="auto"/>
        <w:rPr>
          <w:sz w:val="20"/>
          <w:szCs w:val="20"/>
          <w:color w:val="auto"/>
        </w:rPr>
      </w:pPr>
      <w:r>
        <w:rPr>
          <w:rFonts w:ascii="Arial" w:cs="Arial" w:eastAsia="Arial" w:hAnsi="Arial"/>
          <w:sz w:val="15"/>
          <w:szCs w:val="15"/>
          <w:b w:val="1"/>
          <w:bCs w:val="1"/>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02" w:lineRule="exact"/>
        <w:rPr>
          <w:sz w:val="20"/>
          <w:szCs w:val="20"/>
          <w:color w:val="auto"/>
        </w:rPr>
      </w:pPr>
    </w:p>
    <w:p>
      <w:pPr>
        <w:ind w:left="320" w:right="180"/>
        <w:spacing w:after="0" w:line="268" w:lineRule="auto"/>
        <w:rPr>
          <w:sz w:val="20"/>
          <w:szCs w:val="20"/>
          <w:color w:val="auto"/>
        </w:rPr>
      </w:pPr>
      <w:r>
        <w:rPr>
          <w:rFonts w:ascii="Arial" w:cs="Arial" w:eastAsia="Arial" w:hAnsi="Arial"/>
          <w:sz w:val="18"/>
          <w:szCs w:val="18"/>
          <w:b w:val="1"/>
          <w:bCs w:val="1"/>
          <w:color w:val="auto"/>
        </w:rPr>
        <w:t>HIPAA, as amended by the Health Information Technology for Economic and Clinical Health Act of 2009, or HITECH, and its implementing regulations, and as amended again by the Modifications to the HIPAA Privacy, Security, Enforcement and Breach Notification Rules Under HITECH and the Genetic Information Nondiscrimination Act; Other Modifications to the HIPAA Rules, commonly referred to as the Final HIPAA Omnibus Rule, published in January 2013, which imposes certain obligations, including mandatory contractual terms, with respect to safeguarding the privacy, security and transmission of individually identifiable health information without appropriate authorization by covered entities subject to the Final HIPAA Omnibus Rule, i.e. health plans, healthcare clearinghouses and certain healthcare providers, as well as their business associates that perform certain services for or on their behalf involving the use or disclosure of individually identifiable health information and their covered subcontractors,</w:t>
      </w:r>
    </w:p>
    <w:p>
      <w:pPr>
        <w:spacing w:after="0" w:line="242" w:lineRule="exact"/>
        <w:rPr>
          <w:sz w:val="20"/>
          <w:szCs w:val="20"/>
          <w:color w:val="auto"/>
        </w:rPr>
      </w:pPr>
    </w:p>
    <w:p>
      <w:pPr>
        <w:ind w:left="320" w:right="900"/>
        <w:spacing w:after="0" w:line="234" w:lineRule="auto"/>
        <w:rPr>
          <w:sz w:val="20"/>
          <w:szCs w:val="20"/>
          <w:color w:val="auto"/>
        </w:rPr>
      </w:pPr>
      <w:r>
        <w:rPr>
          <w:rFonts w:ascii="Arial" w:cs="Arial" w:eastAsia="Arial" w:hAnsi="Arial"/>
          <w:sz w:val="20"/>
          <w:szCs w:val="20"/>
          <w:b w:val="1"/>
          <w:bCs w:val="1"/>
          <w:color w:val="auto"/>
        </w:rPr>
        <w:t>the U.S. Federal Food, Drug and Cosmetic Act, which prohibits, among other things, the adulteration or misbranding of drugs, biologics and medical devices;</w:t>
      </w:r>
    </w:p>
    <w:p>
      <w:pPr>
        <w:spacing w:after="0" w:line="266" w:lineRule="exact"/>
        <w:rPr>
          <w:sz w:val="20"/>
          <w:szCs w:val="20"/>
          <w:color w:val="auto"/>
        </w:rPr>
      </w:pPr>
    </w:p>
    <w:p>
      <w:pPr>
        <w:ind w:left="320"/>
        <w:spacing w:after="0" w:line="268" w:lineRule="auto"/>
        <w:rPr>
          <w:sz w:val="20"/>
          <w:szCs w:val="20"/>
          <w:color w:val="auto"/>
        </w:rPr>
      </w:pPr>
      <w:r>
        <w:rPr>
          <w:rFonts w:ascii="Arial" w:cs="Arial" w:eastAsia="Arial" w:hAnsi="Arial"/>
          <w:sz w:val="18"/>
          <w:szCs w:val="18"/>
          <w:b w:val="1"/>
          <w:bCs w:val="1"/>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Centers for Medicare &amp; Medicaid Services information related to certain payments and other transfers of value to physicians (defined to include doctors, dentists, optometrists, podiatrists and chiropractors), other healthcare professionals (such as physicians assistants and nurse practitioners), and teaching hospitals, as well as ownership and investment interests held by the physicians described above and their immediate family members;</w:t>
      </w:r>
    </w:p>
    <w:p>
      <w:pPr>
        <w:spacing w:after="0" w:line="243" w:lineRule="exact"/>
        <w:rPr>
          <w:sz w:val="20"/>
          <w:szCs w:val="20"/>
          <w:color w:val="auto"/>
        </w:rPr>
      </w:pPr>
    </w:p>
    <w:p>
      <w:pPr>
        <w:ind w:left="320"/>
        <w:spacing w:after="0" w:line="284" w:lineRule="auto"/>
        <w:rPr>
          <w:sz w:val="20"/>
          <w:szCs w:val="20"/>
          <w:color w:val="auto"/>
        </w:rPr>
      </w:pPr>
      <w:r>
        <w:rPr>
          <w:rFonts w:ascii="Arial" w:cs="Arial" w:eastAsia="Arial" w:hAnsi="Arial"/>
          <w:sz w:val="17"/>
          <w:szCs w:val="17"/>
          <w:b w:val="1"/>
          <w:bCs w:val="1"/>
          <w:color w:val="auto"/>
        </w:rPr>
        <w:t>analogous state laws and regulations, including: state and local laws requiring certain regulatory licenses to manufacture or distribute pharmaceutical products commercially and/or the registration of pharmaceutical sales representatives in the jurisdiction;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 which differ from each other in significant ways and often are not preempted by HIPAA, thus complicating compliance efforts; and</w:t>
      </w:r>
    </w:p>
    <w:p>
      <w:pPr>
        <w:sectPr>
          <w:pgSz w:w="12240" w:h="15840" w:orient="portrait"/>
          <w:cols w:equalWidth="0" w:num="1">
            <w:col w:w="9520"/>
          </w:cols>
          <w:pgMar w:left="1440" w:top="1089" w:right="1280" w:bottom="181"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41</w:t>
      </w:r>
    </w:p>
    <w:p>
      <w:pPr>
        <w:sectPr>
          <w:pgSz w:w="12240" w:h="15840" w:orient="portrait"/>
          <w:cols w:equalWidth="0" w:num="1">
            <w:col w:w="9520"/>
          </w:cols>
          <w:pgMar w:left="1440" w:top="1089" w:right="1280" w:bottom="181" w:gutter="0" w:footer="0" w:header="0"/>
          <w:type w:val="continuous"/>
        </w:sectPr>
      </w:pPr>
    </w:p>
    <w:bookmarkStart w:id="81" w:name="page82"/>
    <w:bookmarkEnd w:id="81"/>
    <w:p>
      <w:pPr>
        <w:ind w:left="500" w:right="560"/>
        <w:spacing w:after="0" w:line="234" w:lineRule="auto"/>
        <w:rPr>
          <w:sz w:val="20"/>
          <w:szCs w:val="20"/>
          <w:color w:val="auto"/>
        </w:rPr>
      </w:pPr>
      <w:r>
        <w:rPr>
          <w:rFonts w:ascii="Arial" w:cs="Arial" w:eastAsia="Arial" w:hAnsi="Arial"/>
          <w:sz w:val="20"/>
          <w:szCs w:val="20"/>
          <w:b w:val="1"/>
          <w:bCs w:val="1"/>
          <w:color w:val="auto"/>
        </w:rPr>
        <w:t>foreign law equivalents of each of the laws, including reporting requirements detailing interactions with and payments to healthcare providers.</w:t>
      </w:r>
    </w:p>
    <w:p>
      <w:pPr>
        <w:spacing w:after="0" w:line="273" w:lineRule="exact"/>
        <w:rPr>
          <w:sz w:val="20"/>
          <w:szCs w:val="20"/>
          <w:color w:val="auto"/>
        </w:rPr>
      </w:pPr>
    </w:p>
    <w:p>
      <w:pPr>
        <w:spacing w:after="0" w:line="324" w:lineRule="auto"/>
        <w:rPr>
          <w:sz w:val="20"/>
          <w:szCs w:val="20"/>
          <w:color w:val="auto"/>
        </w:rPr>
      </w:pPr>
      <w:r>
        <w:rPr>
          <w:rFonts w:ascii="Arial" w:cs="Arial" w:eastAsia="Arial" w:hAnsi="Arial"/>
          <w:sz w:val="15"/>
          <w:szCs w:val="15"/>
          <w:b w:val="1"/>
          <w:bCs w:val="1"/>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if we become subject to a corporate integrity agreement or similar agreement to resolve allegations of non-compliance with these laws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200" w:lineRule="exact"/>
        <w:rPr>
          <w:sz w:val="20"/>
          <w:szCs w:val="20"/>
          <w:color w:val="auto"/>
        </w:rPr>
      </w:pPr>
    </w:p>
    <w:p>
      <w:pPr>
        <w:spacing w:after="0" w:line="229"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b w:val="1"/>
          <w:bCs w:val="1"/>
          <w:color w:val="auto"/>
        </w:rPr>
        <w:t>We are subject to stringent and evolving U.S. and foreign laws, regulations, rules, industry standards, contractual obligations, policies and other obligations related to data privacy and security. Our actual or perceived failure to comply with privacy and data protection obligations could lead to government investigations or enforcement actions (which could include civil or criminal penalties), private litigation, reputational harm and/or adverse publicity and could negatively affect our operating results and business.</w:t>
      </w:r>
    </w:p>
    <w:p>
      <w:pPr>
        <w:spacing w:after="0" w:line="225" w:lineRule="exact"/>
        <w:rPr>
          <w:sz w:val="20"/>
          <w:szCs w:val="20"/>
          <w:color w:val="auto"/>
        </w:rPr>
      </w:pPr>
    </w:p>
    <w:p>
      <w:pPr>
        <w:ind w:right="280"/>
        <w:spacing w:after="0" w:line="333" w:lineRule="auto"/>
        <w:rPr>
          <w:sz w:val="20"/>
          <w:szCs w:val="20"/>
          <w:color w:val="auto"/>
        </w:rPr>
      </w:pPr>
      <w:r>
        <w:rPr>
          <w:rFonts w:ascii="Arial" w:cs="Arial" w:eastAsia="Arial" w:hAnsi="Arial"/>
          <w:sz w:val="15"/>
          <w:szCs w:val="15"/>
          <w:b w:val="1"/>
          <w:bCs w:val="1"/>
          <w:color w:val="auto"/>
        </w:rPr>
        <w:t>We and our collaborators and third-party providers are subject to evolving federal, state and foreign data privacy and security laws and regulations. In the United States, numerous federal and state laws and regulations, including federal health information privacy laws, state data breach notification laws, proposed cybersecurity rules from the SEC,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and third-party providers.</w:t>
      </w:r>
    </w:p>
    <w:p>
      <w:pPr>
        <w:spacing w:after="0" w:line="184"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color w:val="auto"/>
        </w:rPr>
        <w:t>In many jurisdictions, enforcement actions and consequences for noncompliance are rising. If we fail to follow security regulations or standards, even if no customer information is compromised, we may incur significant fines or experience a significant increase in costs. Many state legislatures have adopted legislation that regulates how businesses operate online, including measures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w:t>
      </w:r>
    </w:p>
    <w:p>
      <w:pPr>
        <w:spacing w:after="0" w:line="2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color w:val="auto"/>
        </w:rPr>
        <w:t>For example, the California Consumer Privacy Act of 2018 (“CCPA”) applies to personal information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In addition, the California Privacy Rights Act of 2020 (“CPRA”) expands the CCPA’s requirements, including by adding a new right for individuals to correct their personal information and establishing a new regulatory agency to implement and enforce the law.</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5"/>
          <w:szCs w:val="15"/>
          <w:b w:val="1"/>
          <w:bCs w:val="1"/>
          <w:color w:val="auto"/>
        </w:rPr>
        <w:t>Other states, such as Virginia, Colorado, Utah, and Connecticut have also passed comprehensive privacy laws, and similar laws are being considered in several other states, as well as at the federal and local levels. While these states, like the CCPA, also exempt some data processed in the context of clinical trials, these developments further complicate compliance efforts, and increase legal risk and compliance costs for us and the third parties upon whom we rely.</w:t>
      </w:r>
    </w:p>
    <w:p>
      <w:pPr>
        <w:spacing w:after="0" w:line="178" w:lineRule="exact"/>
        <w:rPr>
          <w:sz w:val="20"/>
          <w:szCs w:val="20"/>
          <w:color w:val="auto"/>
        </w:rPr>
      </w:pPr>
    </w:p>
    <w:p>
      <w:pPr>
        <w:ind w:right="120"/>
        <w:spacing w:after="0" w:line="296" w:lineRule="auto"/>
        <w:rPr>
          <w:sz w:val="20"/>
          <w:szCs w:val="20"/>
          <w:color w:val="auto"/>
        </w:rPr>
      </w:pPr>
      <w:r>
        <w:rPr>
          <w:rFonts w:ascii="Arial" w:cs="Arial" w:eastAsia="Arial" w:hAnsi="Arial"/>
          <w:sz w:val="17"/>
          <w:szCs w:val="17"/>
          <w:b w:val="1"/>
          <w:bCs w:val="1"/>
          <w:color w:val="auto"/>
        </w:rPr>
        <w:t>Outside the United States, an increasing number of laws, regulations, and industry standards may govern data privacy and security. For example, the European Union’s General Data Protection Regulation (“EU GDPR”), the United Kingdom’s GDPR (“UK GDPR”), and the Personal Information Protection Act ("PIPA"), in South Korea, impose strict</w:t>
      </w:r>
    </w:p>
    <w:p>
      <w:pPr>
        <w:sectPr>
          <w:pgSz w:w="12240" w:h="15840" w:orient="portrait"/>
          <w:cols w:equalWidth="0" w:num="1">
            <w:col w:w="9700"/>
          </w:cols>
          <w:pgMar w:left="1260" w:top="1081" w:right="1280" w:bottom="181"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42</w:t>
      </w:r>
    </w:p>
    <w:p>
      <w:pPr>
        <w:sectPr>
          <w:pgSz w:w="12240" w:h="15840" w:orient="portrait"/>
          <w:cols w:equalWidth="0" w:num="1">
            <w:col w:w="9700"/>
          </w:cols>
          <w:pgMar w:left="1260" w:top="1081" w:right="1280" w:bottom="181" w:gutter="0" w:footer="0" w:header="0"/>
          <w:type w:val="continuous"/>
        </w:sectPr>
      </w:pPr>
    </w:p>
    <w:bookmarkStart w:id="82" w:name="page83"/>
    <w:bookmarkEnd w:id="82"/>
    <w:p>
      <w:pPr>
        <w:ind w:right="140"/>
        <w:spacing w:after="0" w:line="271" w:lineRule="auto"/>
        <w:rPr>
          <w:sz w:val="20"/>
          <w:szCs w:val="20"/>
          <w:color w:val="auto"/>
        </w:rPr>
      </w:pPr>
      <w:r>
        <w:rPr>
          <w:rFonts w:ascii="Arial" w:cs="Arial" w:eastAsia="Arial" w:hAnsi="Arial"/>
          <w:sz w:val="18"/>
          <w:szCs w:val="18"/>
          <w:b w:val="1"/>
          <w:bCs w:val="1"/>
          <w:color w:val="auto"/>
        </w:rPr>
        <w:t>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spacing w:after="0" w:line="224"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we can satisfy or rely on these measures to lawfully transfer personal data to the United States.</w:t>
      </w:r>
    </w:p>
    <w:p>
      <w:pPr>
        <w:spacing w:after="0" w:line="215"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b w:val="1"/>
          <w:bCs w:val="1"/>
          <w:color w:val="auto"/>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218" w:lineRule="exact"/>
        <w:rPr>
          <w:sz w:val="20"/>
          <w:szCs w:val="20"/>
          <w:color w:val="auto"/>
        </w:rPr>
      </w:pPr>
    </w:p>
    <w:p>
      <w:pPr>
        <w:jc w:val="both"/>
        <w:ind w:right="20"/>
        <w:spacing w:after="0" w:line="297" w:lineRule="auto"/>
        <w:rPr>
          <w:sz w:val="20"/>
          <w:szCs w:val="20"/>
          <w:color w:val="auto"/>
        </w:rPr>
      </w:pPr>
      <w:r>
        <w:rPr>
          <w:rFonts w:ascii="Arial" w:cs="Arial" w:eastAsia="Arial" w:hAnsi="Arial"/>
          <w:sz w:val="17"/>
          <w:szCs w:val="17"/>
          <w:b w:val="1"/>
          <w:bCs w:val="1"/>
          <w:color w:val="auto"/>
        </w:rPr>
        <w:t>In addition to data privacy and security laws, we contractually may be subject to industry standards adopted by industry groups and may become subject to such obligations in the future. We are also bound by contractual obligations related to data privacy and security, and our efforts to comply with such obligations may not be successful.</w:t>
      </w:r>
    </w:p>
    <w:p>
      <w:pPr>
        <w:spacing w:after="0" w:line="203"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color w:val="auto"/>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orders to destroy or not use personal data; and imprisonment of company officials.</w:t>
      </w:r>
    </w:p>
    <w:p>
      <w:pPr>
        <w:spacing w:after="0" w:line="228"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Any of these events could have a material adverse effect on our reputation, business, or financial condition, including but not limited to: loss of collaborators or subjects; interruptions or stoppages in our business operations (including clinical trials); interruptions or stoppages of data collection;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Intellectual Property</w:t>
      </w:r>
    </w:p>
    <w:p>
      <w:pPr>
        <w:spacing w:after="0" w:line="251" w:lineRule="exact"/>
        <w:rPr>
          <w:sz w:val="20"/>
          <w:szCs w:val="20"/>
          <w:color w:val="auto"/>
        </w:rPr>
      </w:pPr>
    </w:p>
    <w:p>
      <w:pPr>
        <w:ind w:right="440"/>
        <w:spacing w:after="0" w:line="252" w:lineRule="auto"/>
        <w:rPr>
          <w:sz w:val="20"/>
          <w:szCs w:val="20"/>
          <w:color w:val="auto"/>
        </w:rPr>
      </w:pPr>
      <w:r>
        <w:rPr>
          <w:rFonts w:ascii="Arial" w:cs="Arial" w:eastAsia="Arial" w:hAnsi="Arial"/>
          <w:sz w:val="19"/>
          <w:szCs w:val="19"/>
          <w:b w:val="1"/>
          <w:bCs w:val="1"/>
          <w:color w:val="auto"/>
        </w:rPr>
        <w:t>If we are unable to obtain, maintain and protect sufficient patent and other intellectual property rights for our product candidates and technology, or if the scope of patent and other intellectual property rights obtained is not sufficiently broad, we may not be able to compete effectively in our market.</w:t>
      </w:r>
    </w:p>
    <w:p>
      <w:pPr>
        <w:spacing w:after="0" w:line="241" w:lineRule="exact"/>
        <w:rPr>
          <w:sz w:val="20"/>
          <w:szCs w:val="20"/>
          <w:color w:val="auto"/>
        </w:rPr>
      </w:pPr>
    </w:p>
    <w:p>
      <w:pPr>
        <w:ind w:right="80"/>
        <w:spacing w:after="0" w:line="328" w:lineRule="auto"/>
        <w:rPr>
          <w:sz w:val="20"/>
          <w:szCs w:val="20"/>
          <w:color w:val="auto"/>
        </w:rPr>
      </w:pPr>
      <w:r>
        <w:rPr>
          <w:rFonts w:ascii="Arial" w:cs="Arial" w:eastAsia="Arial" w:hAnsi="Arial"/>
          <w:sz w:val="15"/>
          <w:szCs w:val="15"/>
          <w:b w:val="1"/>
          <w:bCs w:val="1"/>
          <w:color w:val="auto"/>
        </w:rPr>
        <w:t>Our success depends in significant part on our ability and the ability of our licensors and collaborators to obtain, maintain, enforce and defend patents and other intellectual property rights with respect to our product candidates and technology and to operate our business without infringing, misappropriating or otherwise violating the intellectual property rights of others. We have licensed two patent estates from The Board of Trustees of the Leland Stanford Junior University, or Stanford. For more information, see “Business—License and Collaboration Agreements.” In addition, we have filed patent applications that are solely owned by us or co-owned by us with Stanford and for which Stanford has granted us an exclusive license to its rights. As of December 31, 2025, we have two issued U.S. patents that are solely owned by us and four issued U.S. patents and three issued foreign (Chinese Japanese, and Korean) patents that are co-owned with, and exclusively licensed to us by Stanford. Many of our patent applications that we own, co-own with Stanford, or have licensed from Stanford are U.S. provisional patent applications. A U.S. provisional patent application</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43</w:t>
      </w:r>
    </w:p>
    <w:p>
      <w:pPr>
        <w:sectPr>
          <w:pgSz w:w="12240" w:h="15840" w:orient="portrait"/>
          <w:cols w:equalWidth="0" w:num="1">
            <w:col w:w="9700"/>
          </w:cols>
          <w:pgMar w:left="1260" w:top="1089" w:right="1280" w:bottom="181" w:gutter="0" w:footer="0" w:header="0"/>
          <w:type w:val="continuous"/>
        </w:sectPr>
      </w:pPr>
    </w:p>
    <w:bookmarkStart w:id="83" w:name="page84"/>
    <w:bookmarkEnd w:id="83"/>
    <w:p>
      <w:pPr>
        <w:ind w:right="40"/>
        <w:spacing w:after="0" w:line="269" w:lineRule="auto"/>
        <w:rPr>
          <w:sz w:val="20"/>
          <w:szCs w:val="20"/>
          <w:color w:val="auto"/>
        </w:rPr>
      </w:pPr>
      <w:r>
        <w:rPr>
          <w:rFonts w:ascii="Arial" w:cs="Arial" w:eastAsia="Arial" w:hAnsi="Arial"/>
          <w:sz w:val="18"/>
          <w:szCs w:val="18"/>
          <w:b w:val="1"/>
          <w:bCs w:val="1"/>
          <w:color w:val="auto"/>
        </w:rPr>
        <w:t>is not eligible to become an issued patent until, among other things, we file a non-provisional patent application within 12 months of filing of the provisional patent application. With regard to such U.S. provisional patent applications, if we or our licensors do not timely file any non-provisional patent applications, we may lose our priority dates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226"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b w:val="1"/>
          <w:bCs w:val="1"/>
          <w:color w:val="auto"/>
        </w:rPr>
        <w:t>The patent prosecution process is expensive and time-consuming. We and our current or future licensors, licensees or collaborators may not be able to prepare, file and prosecute all necessary or desirable patent applications at a reasonable cost or in a timely manner. It is also possible that we or our licensors will fail to identify patentable aspects of our research and development output in time to obtain patent protection or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or other third party’s patent application may pose obstacles to our ability to obtain patent protection or limit the scope of the patent protection we may obtain. Although we enter into non-disclosure and confidentiality agreements with parties who have access to confidential or patentable aspects of our research and development output, such as our employees, collaborators, CROs,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w:t>
      </w:r>
    </w:p>
    <w:p>
      <w:pPr>
        <w:spacing w:after="0" w:line="218"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b w:val="1"/>
          <w:bCs w:val="1"/>
          <w:color w:val="auto"/>
        </w:rPr>
        <w:t>The patent position of biotechnology and pharmaceutical companies generally is uncertain, involves complex legal and factual questions and is the subject of much litigation. As a result, the issuance, scope, validity, enforceability and commercial value of our and our current or future licensors’ patent rights are uncertain. Our and our licensors’ pending, and future patent applications may not result in patents being issued that protect our technology or product candidates, in whole or in part, or which effectively exclude others from commercializing competitive technologies and product candidates. The patent examination process may require us or our licensors to narrow the scope of the claims of our pending and future patent applications, and therefore, even if such patent applications issue as patents, they may not issue in a form that will provide us with any meaningful protection, prevent competitors or other third parties from competing with us or otherwise provide us with any competitive advantage. Our and our licensors’ patent applications cannot be enforced against third parties practicing the technology claimed in such applications unless and until a patent issues from such applications, and then only to the extent the issued claims cover such technology. Any patents that we hold, or in-license may be challenged, narrowed, circumvented or invalidated by third parties. Consequently, we do not know whether any of our product candidates will be protectable or remain protected by valid and enforceable patents. Our competitors or other third parties may be able to circumvent our patents by developing similar or alternative technologies or products in a non-infringing manner. Any of the foregoing could harm our competitive position, business, financial condition, results of operations and prospects.</w:t>
      </w:r>
    </w:p>
    <w:p>
      <w:pPr>
        <w:spacing w:after="0" w:line="218" w:lineRule="exact"/>
        <w:rPr>
          <w:sz w:val="20"/>
          <w:szCs w:val="20"/>
          <w:color w:val="auto"/>
        </w:rPr>
      </w:pPr>
    </w:p>
    <w:p>
      <w:pPr>
        <w:ind w:right="360"/>
        <w:spacing w:after="0" w:line="234" w:lineRule="auto"/>
        <w:rPr>
          <w:sz w:val="20"/>
          <w:szCs w:val="20"/>
          <w:color w:val="auto"/>
        </w:rPr>
      </w:pPr>
      <w:r>
        <w:rPr>
          <w:rFonts w:ascii="Arial" w:cs="Arial" w:eastAsia="Arial" w:hAnsi="Arial"/>
          <w:sz w:val="20"/>
          <w:szCs w:val="20"/>
          <w:b w:val="1"/>
          <w:bCs w:val="1"/>
          <w:color w:val="auto"/>
        </w:rPr>
        <w:t>The patent protection we obtain for our product candidates and technology may be challenged or not sufficient to provide us with any competitive advantage.</w:t>
      </w:r>
    </w:p>
    <w:p>
      <w:pPr>
        <w:spacing w:after="0" w:line="252"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Even if our owned or licensed patent applications issue as patents, the issuance of any such patents is not conclusive as to their inventorship, scope, validity or enforceability, and such patents may be challenged, invalidated, narrowed or held to be unenforceable, including in the courts or patent offices in the United States and abroad, or circumvented. We may be subject to a third party preissuance submission of prior art to the United States Patent and Trademark Office, or USPTO, or equivalent foreign bodies, or become involved in opposition, derivation, revocation, re-examination, post-grant and inter partes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or one of our licensors, may have to participate in interference or derivation proceedings declared by the USPTO to determine priority or ownership of invention or in post-grant challenge proceedings, such as oppositions in a foreign patent office, that challenge priority of invention or other features of patentability. Such proceedings and any other patent challenges may result in loss of patent rights, loss of exclusivity, loss of priority or in</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44</w:t>
      </w:r>
    </w:p>
    <w:p>
      <w:pPr>
        <w:sectPr>
          <w:pgSz w:w="12240" w:h="15840" w:orient="portrait"/>
          <w:cols w:equalWidth="0" w:num="1">
            <w:col w:w="9700"/>
          </w:cols>
          <w:pgMar w:left="1260" w:top="1089" w:right="1280" w:bottom="181" w:gutter="0" w:footer="0" w:header="0"/>
          <w:type w:val="continuous"/>
        </w:sectPr>
      </w:pPr>
    </w:p>
    <w:bookmarkStart w:id="84" w:name="page85"/>
    <w:bookmarkEnd w:id="84"/>
    <w:p>
      <w:pPr>
        <w:ind w:right="120"/>
        <w:spacing w:after="0" w:line="330" w:lineRule="auto"/>
        <w:rPr>
          <w:sz w:val="20"/>
          <w:szCs w:val="20"/>
          <w:color w:val="auto"/>
        </w:rPr>
      </w:pPr>
      <w:r>
        <w:rPr>
          <w:rFonts w:ascii="Arial" w:cs="Arial" w:eastAsia="Arial" w:hAnsi="Arial"/>
          <w:sz w:val="15"/>
          <w:szCs w:val="15"/>
          <w:b w:val="1"/>
          <w:bCs w:val="1"/>
          <w:color w:val="auto"/>
        </w:rPr>
        <w:t>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costs and require significant time from our scientists and management, even if the eventual outcome is favorable to us. Moreover, there could be public announcements of the results of hearings, motions or other developments related to any of the foregoing proceedings. If securities analysts or investors perceive those results to be negative, it could cause the price of shares of our common stock to decline. Any of the foregoing could harm our business, financial condition, results of operations and prospects.</w:t>
      </w:r>
    </w:p>
    <w:p>
      <w:pPr>
        <w:spacing w:after="0" w:line="190" w:lineRule="exact"/>
        <w:rPr>
          <w:sz w:val="20"/>
          <w:szCs w:val="20"/>
          <w:color w:val="auto"/>
        </w:rPr>
      </w:pPr>
    </w:p>
    <w:p>
      <w:pPr>
        <w:ind w:right="80"/>
        <w:spacing w:after="0" w:line="336" w:lineRule="auto"/>
        <w:rPr>
          <w:sz w:val="20"/>
          <w:szCs w:val="20"/>
          <w:color w:val="auto"/>
        </w:rPr>
      </w:pPr>
      <w:r>
        <w:rPr>
          <w:rFonts w:ascii="Arial" w:cs="Arial" w:eastAsia="Arial" w:hAnsi="Arial"/>
          <w:sz w:val="15"/>
          <w:szCs w:val="15"/>
          <w:b w:val="1"/>
          <w:bCs w:val="1"/>
          <w:color w:val="auto"/>
        </w:rPr>
        <w:t>Moreover, some of our owned or in-licensed patents and patent applications are, and may in the future be, co-owned with third parties. If we are unable to obtain an exclusive license to any such co-owners’ interest in such patents or patent applications, such co-owners may be able to license their rights to other third parties, including our competitors, who could market competing products and technology. In addition, we may need the cooperation of any such co-owners in order to enforce such patents against third parties, and such cooperation may not be provided to us.</w:t>
      </w:r>
    </w:p>
    <w:p>
      <w:pPr>
        <w:spacing w:after="0" w:line="182"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color w:val="auto"/>
        </w:rPr>
        <w:t>In addition, our owned and in-licensed patents may be subject to a reservation of rights by one or more third parties. For example, our licenses to certain intellectual property owned by Stanford are subject to certain rights Stanford retained for itself and for other non-profit research institutions. In addition, the technology claimed by the patents that we licensed from Stanford was developed using U.S. government funding. As a result, the U.S. government has certain rights to such patent rights and technology, including march-in rights and a non-exclusive license authorizing the government to use the invention for noncommercial purposes. These rights may permit the government to disclose our confidential information to third parties or allow third parties to use our licensed technology. The government can also exercise its march-in rights if it determines that action is necessary because we fail to achieve practical application of the government-funded technology, or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214"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b w:val="1"/>
          <w:bCs w:val="1"/>
          <w:color w:val="auto"/>
        </w:rPr>
        <w:t>We are heavily dependent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deadlines, we could lose license rights that are important to our business.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color w:val="auto"/>
        </w:rPr>
        <w:t>We are heavily reliant upon licenses to certain patent rights and other intellectual property from third parties that are important or necessary to the development of our product candidates. We may need to obtain additional licenses to advance the development and commercialization of our current product candidates and other product candidates we may develop. It is possible that we may be unable to obtain any additional licenses at a reasonable cost or on reasonable terms, or at all, or such licenses may be non-exclusive.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w:t>
      </w:r>
    </w:p>
    <w:p>
      <w:pPr>
        <w:spacing w:after="0" w:line="21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color w:val="auto"/>
        </w:rPr>
        <w:t>We expect that future license agreements will impose, upon us various development, regulatory and/or commercial diligence obligations, obligations to make milestone or royalty payments or to share revenues and other obligations. If we fail to comply with our obligations under these agreements, or we are subject to a bankruptcy-related event, the licensor may have the right to terminate the license, and if they exercise that right we would not be able to develop, market, or otherwise commercialize our technology and product candidates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232" w:lineRule="exact"/>
        <w:rPr>
          <w:sz w:val="20"/>
          <w:szCs w:val="20"/>
          <w:color w:val="auto"/>
        </w:rPr>
      </w:pPr>
    </w:p>
    <w:p>
      <w:pPr>
        <w:ind w:right="460"/>
        <w:spacing w:after="0" w:line="237" w:lineRule="auto"/>
        <w:rPr>
          <w:sz w:val="20"/>
          <w:szCs w:val="20"/>
          <w:color w:val="auto"/>
        </w:rPr>
      </w:pPr>
      <w:r>
        <w:rPr>
          <w:rFonts w:ascii="Arial" w:cs="Arial" w:eastAsia="Arial" w:hAnsi="Arial"/>
          <w:sz w:val="20"/>
          <w:szCs w:val="20"/>
          <w:b w:val="1"/>
          <w:bCs w:val="1"/>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licensors regarding intellectual property subject to a license agreement, including:</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the scope of rights granted under the license agreement and other interpretation-related issues;</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45</w:t>
      </w:r>
    </w:p>
    <w:p>
      <w:pPr>
        <w:sectPr>
          <w:pgSz w:w="12240" w:h="15840" w:orient="portrait"/>
          <w:cols w:equalWidth="0" w:num="1">
            <w:col w:w="9700"/>
          </w:cols>
          <w:pgMar w:left="1260" w:top="1089" w:right="1280" w:bottom="181" w:gutter="0" w:footer="0" w:header="0"/>
          <w:type w:val="continuous"/>
        </w:sectPr>
      </w:pPr>
    </w:p>
    <w:bookmarkStart w:id="85" w:name="page86"/>
    <w:bookmarkEnd w:id="85"/>
    <w:p>
      <w:pPr>
        <w:ind w:left="500" w:right="580"/>
        <w:spacing w:after="0" w:line="281" w:lineRule="auto"/>
        <w:rPr>
          <w:sz w:val="20"/>
          <w:szCs w:val="20"/>
          <w:color w:val="auto"/>
        </w:rPr>
      </w:pPr>
      <w:r>
        <w:rPr>
          <w:rFonts w:ascii="Arial" w:cs="Arial" w:eastAsia="Arial" w:hAnsi="Arial"/>
          <w:sz w:val="18"/>
          <w:szCs w:val="18"/>
          <w:b w:val="1"/>
          <w:bCs w:val="1"/>
          <w:color w:val="auto"/>
        </w:rPr>
        <w:t>whether and the extent to which our technology and processes infringe, misappropriate or otherwise violate intellectual property of the licensor that is not subject to the license agreement;</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our right to sublicense patent and other rights to third parties;</w:t>
      </w:r>
    </w:p>
    <w:p>
      <w:pPr>
        <w:spacing w:after="0" w:line="265" w:lineRule="exact"/>
        <w:rPr>
          <w:sz w:val="20"/>
          <w:szCs w:val="20"/>
          <w:color w:val="auto"/>
        </w:rPr>
      </w:pPr>
    </w:p>
    <w:p>
      <w:pPr>
        <w:ind w:left="500" w:right="380"/>
        <w:spacing w:after="0" w:line="312" w:lineRule="auto"/>
        <w:rPr>
          <w:sz w:val="20"/>
          <w:szCs w:val="20"/>
          <w:color w:val="auto"/>
        </w:rPr>
      </w:pPr>
      <w:r>
        <w:rPr>
          <w:rFonts w:ascii="Arial" w:cs="Arial" w:eastAsia="Arial" w:hAnsi="Arial"/>
          <w:sz w:val="17"/>
          <w:szCs w:val="17"/>
          <w:b w:val="1"/>
          <w:bCs w:val="1"/>
          <w:color w:val="auto"/>
        </w:rPr>
        <w:t>our diligence obligations with respect to the use of the licensed technology in relation to our development and commercialization of our product candidates, and what activities satisfy those diligence obligations;</w:t>
      </w:r>
    </w:p>
    <w:p>
      <w:pPr>
        <w:spacing w:after="0" w:line="206" w:lineRule="exact"/>
        <w:rPr>
          <w:sz w:val="20"/>
          <w:szCs w:val="20"/>
          <w:color w:val="auto"/>
        </w:rPr>
      </w:pPr>
    </w:p>
    <w:p>
      <w:pPr>
        <w:ind w:left="500" w:right="140"/>
        <w:spacing w:after="0" w:line="234" w:lineRule="auto"/>
        <w:rPr>
          <w:sz w:val="20"/>
          <w:szCs w:val="20"/>
          <w:color w:val="auto"/>
        </w:rPr>
      </w:pPr>
      <w:r>
        <w:rPr>
          <w:rFonts w:ascii="Arial" w:cs="Arial" w:eastAsia="Arial" w:hAnsi="Arial"/>
          <w:sz w:val="20"/>
          <w:szCs w:val="20"/>
          <w:b w:val="1"/>
          <w:bCs w:val="1"/>
          <w:color w:val="auto"/>
        </w:rPr>
        <w:t>the inventorship or ownership of inventions and know-how resulting from the joint creation or use of intellectual property by our licensors and us and our partners;</w:t>
      </w:r>
    </w:p>
    <w:p>
      <w:pPr>
        <w:spacing w:after="0" w:line="266" w:lineRule="exact"/>
        <w:rPr>
          <w:sz w:val="20"/>
          <w:szCs w:val="20"/>
          <w:color w:val="auto"/>
        </w:rPr>
      </w:pPr>
    </w:p>
    <w:p>
      <w:pPr>
        <w:ind w:left="500" w:right="5320"/>
        <w:spacing w:after="0" w:line="672" w:lineRule="auto"/>
        <w:rPr>
          <w:sz w:val="20"/>
          <w:szCs w:val="20"/>
          <w:color w:val="auto"/>
        </w:rPr>
      </w:pPr>
      <w:r>
        <w:rPr>
          <w:rFonts w:ascii="Arial" w:cs="Arial" w:eastAsia="Arial" w:hAnsi="Arial"/>
          <w:sz w:val="15"/>
          <w:szCs w:val="15"/>
          <w:b w:val="1"/>
          <w:bCs w:val="1"/>
          <w:color w:val="auto"/>
        </w:rPr>
        <w:t>the priority of invention of patented technology; our right to transfer or assign the license; and</w:t>
      </w:r>
    </w:p>
    <w:p>
      <w:pPr>
        <w:ind w:left="120"/>
        <w:spacing w:after="0"/>
        <w:rPr>
          <w:sz w:val="20"/>
          <w:szCs w:val="20"/>
          <w:color w:val="auto"/>
        </w:rPr>
      </w:pPr>
      <w:r>
        <w:rPr>
          <w:rFonts w:ascii="Arial" w:cs="Arial" w:eastAsia="Arial" w:hAnsi="Arial"/>
          <w:sz w:val="20"/>
          <w:szCs w:val="20"/>
          <w:b w:val="1"/>
          <w:bCs w:val="1"/>
          <w:color w:val="auto"/>
        </w:rPr>
        <w:t>the effects of termination.</w:t>
      </w:r>
    </w:p>
    <w:p>
      <w:pPr>
        <w:spacing w:after="0" w:line="274"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b w:val="1"/>
          <w:bCs w:val="1"/>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Moreover, 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28"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color w:val="auto"/>
        </w:rPr>
        <w:t>We may enter into additional licenses to third-party intellectual property that are necessary or useful to our business. Under some license agreements, such as under the Toray Agreement and Genmab Agreement, we may not control the preparation, filing, prosecution or maintenance of the licensed intellectual property, or may not have the first right to enforce the intellectual property. In those cases, we may not be able to adequately influence patent prosecution or enforcement or prevent inadvertent lapses of coverage due to failure to pay maintenance fees and we cannot be certain that these patents and patent applications will be prepared, filed, prosecuted, maintained, enforced, and defended in a manner consistent with the best interests of our business and that does not compromise the patent rights. If we fail to comply with any of our obligations under a current or future license agreement, the licensor may allege that we have breached our license agreement and may accordingly seek to terminate our license.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 Under some license agreements, termination may also result in the transfer or granting of rights under certain of our intellectual property and information related to the product candidate being developed under the license, such as regulatory information. If these licenses are terminated, or if the underlying patents fail to provide the intended exclusivity, third parties, including our competitors, may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w:t>
      </w:r>
    </w:p>
    <w:p>
      <w:pPr>
        <w:spacing w:after="0" w:line="231"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b w:val="1"/>
          <w:bCs w:val="1"/>
          <w:color w:val="auto"/>
        </w:rPr>
        <w:t>In addition, if our licensors fail to abide by the terms of the license, if the licensors fail to prevent infringement, misappropriation or violation of the licensed intellectual property by third parties, if the licensed intellectual property or other rights are found to be invalid or unenforceable, or if we are unable to enter into necessary licenses on acceptable terms, our business, competitive position, financial condition, results of operations and prospects could be materially harmed.</w:t>
      </w:r>
    </w:p>
    <w:p>
      <w:pPr>
        <w:spacing w:after="0" w:line="254"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250" w:lineRule="exact"/>
        <w:rPr>
          <w:sz w:val="20"/>
          <w:szCs w:val="20"/>
          <w:color w:val="auto"/>
        </w:rPr>
      </w:pPr>
    </w:p>
    <w:p>
      <w:pPr>
        <w:ind w:right="20"/>
        <w:spacing w:after="0" w:line="353" w:lineRule="auto"/>
        <w:rPr>
          <w:sz w:val="20"/>
          <w:szCs w:val="20"/>
          <w:color w:val="auto"/>
        </w:rPr>
      </w:pPr>
      <w:r>
        <w:rPr>
          <w:rFonts w:ascii="Arial" w:cs="Arial" w:eastAsia="Arial" w:hAnsi="Arial"/>
          <w:sz w:val="15"/>
          <w:szCs w:val="15"/>
          <w:b w:val="1"/>
          <w:bCs w:val="1"/>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w:t>
      </w:r>
    </w:p>
    <w:p>
      <w:pPr>
        <w:sectPr>
          <w:pgSz w:w="12240" w:h="15840" w:orient="portrait"/>
          <w:cols w:equalWidth="0" w:num="1">
            <w:col w:w="9660"/>
          </w:cols>
          <w:pgMar w:left="1260" w:top="1081" w:right="1320" w:bottom="181" w:gutter="0" w:footer="0" w:header="0"/>
        </w:sectPr>
      </w:pP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46</w:t>
      </w:r>
    </w:p>
    <w:p>
      <w:pPr>
        <w:sectPr>
          <w:pgSz w:w="12240" w:h="15840" w:orient="portrait"/>
          <w:cols w:equalWidth="0" w:num="1">
            <w:col w:w="9660"/>
          </w:cols>
          <w:pgMar w:left="1260" w:top="1081" w:right="1320" w:bottom="181" w:gutter="0" w:footer="0" w:header="0"/>
          <w:type w:val="continuous"/>
        </w:sectPr>
      </w:pPr>
    </w:p>
    <w:bookmarkStart w:id="86" w:name="page87"/>
    <w:bookmarkEnd w:id="86"/>
    <w:p>
      <w:pPr>
        <w:spacing w:after="0" w:line="330" w:lineRule="auto"/>
        <w:rPr>
          <w:sz w:val="20"/>
          <w:szCs w:val="20"/>
          <w:color w:val="auto"/>
        </w:rPr>
      </w:pPr>
      <w:r>
        <w:rPr>
          <w:rFonts w:ascii="Arial" w:cs="Arial" w:eastAsia="Arial" w:hAnsi="Arial"/>
          <w:sz w:val="15"/>
          <w:szCs w:val="15"/>
          <w:b w:val="1"/>
          <w:bCs w:val="1"/>
          <w:color w:val="auto"/>
        </w:rPr>
        <w:t>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these contractual agreements with third parties, sharing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harm our business.</w:t>
      </w:r>
    </w:p>
    <w:p>
      <w:pPr>
        <w:spacing w:after="0" w:line="190"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b w:val="1"/>
          <w:bCs w:val="1"/>
          <w:color w:val="auto"/>
        </w:rPr>
        <w:t>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28" w:lineRule="exact"/>
        <w:rPr>
          <w:sz w:val="20"/>
          <w:szCs w:val="20"/>
          <w:color w:val="auto"/>
        </w:rPr>
      </w:pPr>
    </w:p>
    <w:p>
      <w:pPr>
        <w:ind w:right="220"/>
        <w:spacing w:after="0" w:line="252" w:lineRule="auto"/>
        <w:rPr>
          <w:sz w:val="20"/>
          <w:szCs w:val="20"/>
          <w:color w:val="auto"/>
        </w:rPr>
      </w:pPr>
      <w:r>
        <w:rPr>
          <w:rFonts w:ascii="Arial" w:cs="Arial" w:eastAsia="Arial" w:hAnsi="Arial"/>
          <w:sz w:val="19"/>
          <w:szCs w:val="19"/>
          <w:b w:val="1"/>
          <w:bCs w:val="1"/>
          <w:color w:val="auto"/>
        </w:rPr>
        <w:t>We may become involved in lawsuits to protect or enforce our patents or other intellectual property, which could be expensive, time-consuming and unsuccessful, and issued patents covering our technology and product candidates could be found invalid or unenforceable if challenged.</w:t>
      </w:r>
    </w:p>
    <w:p>
      <w:pPr>
        <w:spacing w:after="0" w:line="241" w:lineRule="exact"/>
        <w:rPr>
          <w:sz w:val="20"/>
          <w:szCs w:val="20"/>
          <w:color w:val="auto"/>
        </w:rPr>
      </w:pPr>
    </w:p>
    <w:p>
      <w:pPr>
        <w:ind w:right="20"/>
        <w:spacing w:after="0" w:line="326" w:lineRule="auto"/>
        <w:rPr>
          <w:sz w:val="20"/>
          <w:szCs w:val="20"/>
          <w:color w:val="auto"/>
        </w:rPr>
      </w:pPr>
      <w:r>
        <w:rPr>
          <w:rFonts w:ascii="Arial" w:cs="Arial" w:eastAsia="Arial" w:hAnsi="Arial"/>
          <w:sz w:val="15"/>
          <w:szCs w:val="15"/>
          <w:b w:val="1"/>
          <w:bCs w:val="1"/>
          <w:color w:val="auto"/>
        </w:rPr>
        <w:t>Competitors and other third parties may infringe, misappropriate or otherwise violate our issued patents or other intellectual property or the patents or other intellectual property of our licensors. In addition, our patents or the patents of our licensors may become involved in inventorship or priority disputes. Our pending patent applications cannot be enforced against third parties practicing the technology claimed in such applications unless and until patents issue from such applications. To counter infringement or other unauthorized use, we may be required to file infringement claims, which can be expensive and time-consuming.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result in one or more of our owned or licensed patents being invalidated, held unenforceable or interpreted narrowly. We may find it impractical or undesirable to enforce our intellectual property against some third parties.</w:t>
      </w:r>
    </w:p>
    <w:p>
      <w:pPr>
        <w:spacing w:after="0" w:line="200" w:lineRule="exact"/>
        <w:rPr>
          <w:sz w:val="20"/>
          <w:szCs w:val="20"/>
          <w:color w:val="auto"/>
        </w:rPr>
      </w:pPr>
    </w:p>
    <w:p>
      <w:pPr>
        <w:spacing w:after="0" w:line="223"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the applicable product candidates or technology covered by the patent rendered invalid or unenforceable. Such a loss of patent protection would materially harm our business, financial condition, results of operations and prospects.</w:t>
      </w:r>
    </w:p>
    <w:p>
      <w:pPr>
        <w:spacing w:after="0" w:line="218" w:lineRule="exact"/>
        <w:rPr>
          <w:sz w:val="20"/>
          <w:szCs w:val="20"/>
          <w:color w:val="auto"/>
        </w:rPr>
      </w:pPr>
    </w:p>
    <w:p>
      <w:pPr>
        <w:ind w:right="100"/>
        <w:spacing w:after="0" w:line="328" w:lineRule="auto"/>
        <w:rPr>
          <w:sz w:val="20"/>
          <w:szCs w:val="20"/>
          <w:color w:val="auto"/>
        </w:rPr>
      </w:pPr>
      <w:r>
        <w:rPr>
          <w:rFonts w:ascii="Arial" w:cs="Arial" w:eastAsia="Arial" w:hAnsi="Arial"/>
          <w:sz w:val="15"/>
          <w:szCs w:val="15"/>
          <w:b w:val="1"/>
          <w:bCs w:val="1"/>
          <w:color w:val="auto"/>
        </w:rPr>
        <w:t>Interference or derivation proceedings provoked by third parties or brought by us or declared by the USPTO may be necessary to determine the ownership or priority of inventions with respect to our patents or patent applications. An unfavorable outcome could require us to cease using the related technology or to attempt to license rights to it from the prevailing party.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In addition, if we or our licensors are unsuccessful in any inventorship disputes to which we or they are subject, we may lose valuable intellectual property rights, such as exclusive ownership of, or the exclusive right to use, our owned or in-licensed patents. The loss of exclusivity or the narrowing of our owned and licensed patent claims could limit our ability to stop others from using or</w:t>
      </w:r>
    </w:p>
    <w:p>
      <w:pPr>
        <w:sectPr>
          <w:pgSz w:w="12240" w:h="15840" w:orient="portrait"/>
          <w:cols w:equalWidth="0" w:num="1">
            <w:col w:w="9700"/>
          </w:cols>
          <w:pgMar w:left="1260" w:top="1089" w:right="1280" w:bottom="181"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47</w:t>
      </w:r>
    </w:p>
    <w:p>
      <w:pPr>
        <w:sectPr>
          <w:pgSz w:w="12240" w:h="15840" w:orient="portrait"/>
          <w:cols w:equalWidth="0" w:num="1">
            <w:col w:w="9700"/>
          </w:cols>
          <w:pgMar w:left="1260" w:top="1089" w:right="1280" w:bottom="181" w:gutter="0" w:footer="0" w:header="0"/>
          <w:type w:val="continuous"/>
        </w:sectPr>
      </w:pPr>
    </w:p>
    <w:bookmarkStart w:id="87" w:name="page88"/>
    <w:bookmarkEnd w:id="87"/>
    <w:p>
      <w:pPr>
        <w:spacing w:after="0" w:line="252" w:lineRule="auto"/>
        <w:rPr>
          <w:sz w:val="20"/>
          <w:szCs w:val="20"/>
          <w:color w:val="auto"/>
        </w:rPr>
      </w:pPr>
      <w:r>
        <w:rPr>
          <w:rFonts w:ascii="Arial" w:cs="Arial" w:eastAsia="Arial" w:hAnsi="Arial"/>
          <w:sz w:val="19"/>
          <w:szCs w:val="19"/>
          <w:b w:val="1"/>
          <w:bCs w:val="1"/>
          <w:color w:val="auto"/>
        </w:rPr>
        <w:t>commercializing similar or identical technology and products. Any of the foregoing could result in a material adverse effect on our business, financial condition, results of operations or prospects. Even if we are successful in any of the foregoing disputes, it could result in substantial costs and be a distraction to management and other employees. Furthermore, because of the substantial amount of discovery required in connection with intellectual property litigation, there is a risk that some of our confidential information could be compromised by disclosure during this type of litigation or proceeding.</w:t>
      </w:r>
    </w:p>
    <w:p>
      <w:pPr>
        <w:spacing w:after="0" w:line="244"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b w:val="1"/>
          <w:bCs w:val="1"/>
          <w:color w:val="auto"/>
        </w:rPr>
        <w:t>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Most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operations and prospects.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may not be able to protect our intellectual property rights throughout the world.</w:t>
      </w:r>
    </w:p>
    <w:p>
      <w:pPr>
        <w:spacing w:after="0" w:line="251"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b w:val="1"/>
          <w:bCs w:val="1"/>
          <w:color w:val="auto"/>
        </w:rPr>
        <w:t>Filing, prosecuting, maintaining, defending and enforcing patents and other intellectual property rights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or other intellectual property rights to develop their own products and may export otherwise infringing, misappropriating or violating products to territories where we have patent or other intellectual property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237"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color w:val="auto"/>
        </w:rPr>
        <w:t>Many companies have encountered significant problems in protecting and defending intellectual property rights in foreign jurisdictions. The legal systems of some countries do not favor the enforcement of patents and other intellectual property rights, which could make it difficult for us to stop the infringement, misappropriation or other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2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color w:val="auto"/>
        </w:rPr>
        <w:t>Many countries, including European Union Member States,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48</w:t>
      </w:r>
    </w:p>
    <w:p>
      <w:pPr>
        <w:sectPr>
          <w:pgSz w:w="12240" w:h="15840" w:orient="portrait"/>
          <w:cols w:equalWidth="0" w:num="1">
            <w:col w:w="9700"/>
          </w:cols>
          <w:pgMar w:left="1260" w:top="1089" w:right="1280" w:bottom="181" w:gutter="0" w:footer="0" w:header="0"/>
          <w:type w:val="continuous"/>
        </w:sectPr>
      </w:pPr>
    </w:p>
    <w:bookmarkStart w:id="88" w:name="page89"/>
    <w:bookmarkEnd w:id="88"/>
    <w:p>
      <w:pPr>
        <w:ind w:right="240"/>
        <w:spacing w:after="0" w:line="281" w:lineRule="auto"/>
        <w:rPr>
          <w:sz w:val="20"/>
          <w:szCs w:val="20"/>
          <w:color w:val="auto"/>
        </w:rPr>
      </w:pPr>
      <w:r>
        <w:rPr>
          <w:rFonts w:ascii="Arial" w:cs="Arial" w:eastAsia="Arial" w:hAnsi="Arial"/>
          <w:sz w:val="18"/>
          <w:szCs w:val="18"/>
          <w:b w:val="1"/>
          <w:bCs w:val="1"/>
          <w:color w:val="auto"/>
        </w:rPr>
        <w:t>We may not identify relevant third-party patents or may incorrectly interpret the relevance, scope or expiration of a third-party patent which might adversely affect our ability to develop and market our product candidates.</w:t>
      </w:r>
    </w:p>
    <w:p>
      <w:pPr>
        <w:spacing w:after="0" w:line="214" w:lineRule="exact"/>
        <w:rPr>
          <w:sz w:val="20"/>
          <w:szCs w:val="20"/>
          <w:color w:val="auto"/>
        </w:rPr>
      </w:pPr>
    </w:p>
    <w:p>
      <w:pPr>
        <w:spacing w:after="0" w:line="324" w:lineRule="auto"/>
        <w:rPr>
          <w:sz w:val="20"/>
          <w:szCs w:val="20"/>
          <w:color w:val="auto"/>
        </w:rPr>
      </w:pPr>
      <w:r>
        <w:rPr>
          <w:rFonts w:ascii="Arial" w:cs="Arial" w:eastAsia="Arial" w:hAnsi="Arial"/>
          <w:sz w:val="15"/>
          <w:szCs w:val="15"/>
          <w:b w:val="1"/>
          <w:bCs w:val="1"/>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product candidates in any jurisdiction. For example, U.S. patent applications filed before November 29, 2000, and certain U.S. patent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or the use of our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 candidates.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20"/>
        <w:spacing w:after="0" w:line="329" w:lineRule="auto"/>
        <w:rPr>
          <w:sz w:val="20"/>
          <w:szCs w:val="20"/>
          <w:color w:val="auto"/>
        </w:rPr>
      </w:pPr>
      <w:r>
        <w:rPr>
          <w:rFonts w:ascii="Arial" w:cs="Arial" w:eastAsia="Arial" w:hAnsi="Arial"/>
          <w:sz w:val="15"/>
          <w:szCs w:val="15"/>
          <w:b w:val="1"/>
          <w:bCs w:val="1"/>
          <w:color w:val="auto"/>
        </w:rPr>
        <w:t>If we fail to identify and correctly interpret relevant patents or if we are unable to obtain licenses to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89" w:lineRule="exact"/>
        <w:rPr>
          <w:sz w:val="20"/>
          <w:szCs w:val="20"/>
          <w:color w:val="auto"/>
        </w:rPr>
      </w:pPr>
    </w:p>
    <w:p>
      <w:pPr>
        <w:ind w:right="340"/>
        <w:spacing w:after="0" w:line="234" w:lineRule="auto"/>
        <w:rPr>
          <w:sz w:val="20"/>
          <w:szCs w:val="20"/>
          <w:color w:val="auto"/>
        </w:rPr>
      </w:pPr>
      <w:r>
        <w:rPr>
          <w:rFonts w:ascii="Arial" w:cs="Arial" w:eastAsia="Arial" w:hAnsi="Arial"/>
          <w:sz w:val="20"/>
          <w:szCs w:val="20"/>
          <w:b w:val="1"/>
          <w:bCs w:val="1"/>
          <w:color w:val="auto"/>
        </w:rPr>
        <w:t>If we are unable to obtain licenses from third parties on commercially reasonable terms or fail to comply with our obligations under such agreements, our business could be harmed.</w:t>
      </w:r>
    </w:p>
    <w:p>
      <w:pPr>
        <w:spacing w:after="0" w:line="252"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It may be necessary for us to use the patented or proprietary technology of third parties to commercialize our products, in which case we would be required to obtain a license from these third parties.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non-exclusive, thereby giving our competitors access to the same technologies licensed to us.</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49</w:t>
      </w:r>
    </w:p>
    <w:p>
      <w:pPr>
        <w:sectPr>
          <w:pgSz w:w="12240" w:h="15840" w:orient="portrait"/>
          <w:cols w:equalWidth="0" w:num="1">
            <w:col w:w="9700"/>
          </w:cols>
          <w:pgMar w:left="1260" w:top="1089" w:right="1280" w:bottom="181" w:gutter="0" w:footer="0" w:header="0"/>
          <w:type w:val="continuous"/>
        </w:sectPr>
      </w:pPr>
    </w:p>
    <w:bookmarkStart w:id="89" w:name="page90"/>
    <w:bookmarkEnd w:id="89"/>
    <w:p>
      <w:pPr>
        <w:spacing w:after="0" w:line="325" w:lineRule="auto"/>
        <w:rPr>
          <w:sz w:val="20"/>
          <w:szCs w:val="20"/>
          <w:color w:val="auto"/>
        </w:rPr>
      </w:pPr>
      <w:r>
        <w:rPr>
          <w:rFonts w:ascii="Arial" w:cs="Arial" w:eastAsia="Arial" w:hAnsi="Arial"/>
          <w:sz w:val="15"/>
          <w:szCs w:val="15"/>
          <w:b w:val="1"/>
          <w:bCs w:val="1"/>
          <w:color w:val="auto"/>
        </w:rPr>
        <w:t>If we fail to comply with our obligations under our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For more information on risks related to our licensing of intellectual property, see “Risk Factors—Risks Related to Our Intellectual Property—We are heavily dependent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deadlines, we could lose license rights that are important to our business.”</w:t>
      </w:r>
    </w:p>
    <w:p>
      <w:pPr>
        <w:spacing w:after="0" w:line="200" w:lineRule="exact"/>
        <w:rPr>
          <w:sz w:val="20"/>
          <w:szCs w:val="20"/>
          <w:color w:val="auto"/>
        </w:rPr>
      </w:pPr>
    </w:p>
    <w:p>
      <w:pPr>
        <w:spacing w:after="0" w:line="222"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b w:val="1"/>
          <w:bCs w:val="1"/>
          <w:color w:val="auto"/>
        </w:rPr>
        <w:t>Patent terms may be inadequate to protect the competitive position of our product candidates for an adequate amount of time.</w:t>
      </w:r>
    </w:p>
    <w:p>
      <w:pPr>
        <w:spacing w:after="0" w:line="252" w:lineRule="exact"/>
        <w:rPr>
          <w:sz w:val="20"/>
          <w:szCs w:val="20"/>
          <w:color w:val="auto"/>
        </w:rPr>
      </w:pPr>
    </w:p>
    <w:p>
      <w:pPr>
        <w:ind w:right="60"/>
        <w:spacing w:after="0" w:line="329" w:lineRule="auto"/>
        <w:rPr>
          <w:sz w:val="20"/>
          <w:szCs w:val="20"/>
          <w:color w:val="auto"/>
        </w:rPr>
      </w:pPr>
      <w:r>
        <w:rPr>
          <w:rFonts w:ascii="Arial" w:cs="Arial" w:eastAsia="Arial" w:hAnsi="Arial"/>
          <w:sz w:val="15"/>
          <w:szCs w:val="15"/>
          <w:b w:val="1"/>
          <w:bCs w:val="1"/>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w:t>
      </w:r>
    </w:p>
    <w:p>
      <w:pPr>
        <w:spacing w:after="0" w:line="189"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b w:val="1"/>
          <w:bCs w:val="1"/>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one or more of our foreign patents may be eligible for patent term extension or similar extensions to protection provided by such patents under similar legislation in other jurisdictions, for example, in the European Union a supplementary protection certificate, or SPC, is available to extend the protection afforded to a specific product covered by a patent for maximum of five years (unless extended by six months if trials are completed in accordance with an agreed pediatric investigation plan). In the United States, the Hatch-Waxman Amendments permit a patent term extension of up to five years for a patent covering an approved product as compensation for effective patent term lost during product development and the FDA regulatory review process. However, there are no assurances that the FDA or any comparable foreign regulatory authority or national patent office will grant such extensions, in whole or in part. For example,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50</w:t>
      </w:r>
    </w:p>
    <w:p>
      <w:pPr>
        <w:sectPr>
          <w:pgSz w:w="12240" w:h="15840" w:orient="portrait"/>
          <w:cols w:equalWidth="0" w:num="1">
            <w:col w:w="9700"/>
          </w:cols>
          <w:pgMar w:left="1260" w:top="1089" w:right="1280" w:bottom="181" w:gutter="0" w:footer="0" w:header="0"/>
          <w:type w:val="continuous"/>
        </w:sectPr>
      </w:pPr>
    </w:p>
    <w:bookmarkStart w:id="90" w:name="page91"/>
    <w:bookmarkEnd w:id="90"/>
    <w:p>
      <w:pPr>
        <w:ind w:right="400"/>
        <w:spacing w:after="0" w:line="234" w:lineRule="auto"/>
        <w:rPr>
          <w:sz w:val="20"/>
          <w:szCs w:val="20"/>
          <w:color w:val="auto"/>
        </w:rPr>
      </w:pPr>
      <w:r>
        <w:rPr>
          <w:rFonts w:ascii="Arial" w:cs="Arial" w:eastAsia="Arial" w:hAnsi="Arial"/>
          <w:sz w:val="20"/>
          <w:szCs w:val="20"/>
          <w:b w:val="1"/>
          <w:bCs w:val="1"/>
          <w:color w:val="auto"/>
        </w:rPr>
        <w:t>Changes in patent law could diminish the value of patents in general, thereby impairing our ability to protect our product candidates.</w:t>
      </w:r>
    </w:p>
    <w:p>
      <w:pPr>
        <w:spacing w:after="0" w:line="250" w:lineRule="exact"/>
        <w:rPr>
          <w:sz w:val="20"/>
          <w:szCs w:val="20"/>
          <w:color w:val="auto"/>
        </w:rPr>
      </w:pPr>
    </w:p>
    <w:p>
      <w:pPr>
        <w:spacing w:after="0" w:line="329" w:lineRule="auto"/>
        <w:rPr>
          <w:sz w:val="20"/>
          <w:szCs w:val="20"/>
          <w:color w:val="auto"/>
        </w:rPr>
      </w:pPr>
      <w:r>
        <w:rPr>
          <w:rFonts w:ascii="Arial" w:cs="Arial" w:eastAsia="Arial" w:hAnsi="Arial"/>
          <w:sz w:val="15"/>
          <w:szCs w:val="15"/>
          <w:b w:val="1"/>
          <w:bCs w:val="1"/>
          <w:color w:val="auto"/>
        </w:rPr>
        <w:t>Obtaining and enforcing patents in the pharmaceutical industry is inherently uncertain, due in part to ongoing changes in the patent laws. Depending on decisions by Congress, the federal courts, and the USPTO and equivalent institutions in other jurisdictions, the laws and regulations governing patents, and interpretation thereof, could change in unpredictable ways that could weaken our and our licensors or collaborators’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licensors or collaborators’ ability to obtain patents in the future, as well as uncertainty with respect to the value of patents once obtained.</w:t>
      </w:r>
    </w:p>
    <w:p>
      <w:pPr>
        <w:spacing w:after="0" w:line="189"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b w:val="1"/>
          <w:bCs w:val="1"/>
          <w:color w:val="auto"/>
        </w:rPr>
        <w:t>Recent patent reform legislation could increase the uncertainties and costs surrounding the prosecution of our and our licensors or collaborators’ patent applications and the enforcement or defense of our or our licensors or collaborators’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attack the validity of a patent by USPTO-administered post-grant proceedings, including post-grant review, inter partes review and derivation proceedings. The USPTO recently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all of which could harm our business, financial condition, results of operations and prospects.</w:t>
      </w:r>
    </w:p>
    <w:p>
      <w:pPr>
        <w:spacing w:after="0" w:line="216"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b w:val="1"/>
          <w:bCs w:val="1"/>
          <w:color w:val="auto"/>
        </w:rPr>
        <w:t>Obtaining and maintaining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240"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Periodic maintenance fees, renewal fees, annuity fees and various other government fees on any issued patents and applications are required to be paid to the USPTO and foreign patent agencies in several stages over the lifetime of a patent. In certain circumstances, we rely on our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many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or collaborators fail to maintain the patents and patent applications covering our product candidates, our competitors might be able to enter the market with similar or identical products or technology, which would harm our business, financial condition, results of operations and prospects.</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51</w:t>
      </w:r>
    </w:p>
    <w:p>
      <w:pPr>
        <w:sectPr>
          <w:pgSz w:w="12240" w:h="15840" w:orient="portrait"/>
          <w:cols w:equalWidth="0" w:num="1">
            <w:col w:w="9700"/>
          </w:cols>
          <w:pgMar w:left="1260" w:top="1089" w:right="1280" w:bottom="181" w:gutter="0" w:footer="0" w:header="0"/>
          <w:type w:val="continuous"/>
        </w:sectPr>
      </w:pPr>
    </w:p>
    <w:bookmarkStart w:id="91" w:name="page92"/>
    <w:bookmarkEnd w:id="91"/>
    <w:p>
      <w:pPr>
        <w:ind w:right="20"/>
        <w:spacing w:after="0" w:line="235" w:lineRule="auto"/>
        <w:rPr>
          <w:sz w:val="20"/>
          <w:szCs w:val="20"/>
          <w:color w:val="auto"/>
        </w:rPr>
      </w:pPr>
      <w:r>
        <w:rPr>
          <w:rFonts w:ascii="Arial" w:cs="Arial" w:eastAsia="Arial" w:hAnsi="Arial"/>
          <w:sz w:val="20"/>
          <w:szCs w:val="20"/>
          <w:b w:val="1"/>
          <w:b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253"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b w:val="1"/>
          <w:bCs w:val="1"/>
          <w:color w:val="auto"/>
        </w:rPr>
        <w:t>Our commercial success depends upon our ability and the ability of our collaborators to develop, manufacture, market and sell our product candidates and use our proprietary technologies without infringing, misappropriating or otherwise violating the intellectual property and other proprietary rights of third parties. There is considerable intellectual property litigation in the biotechnology and pharmaceutical industries. We may become party to, or be threatened with, future adversarial proceedings or litigation regarding intellectual property rights with respect to our product candidates and technology, including re-examination, interference, post-grant review, inter partes review or derivation proceedings before the USPTO or an equivalent foreign body. Numerous U.S. and foreign issued patents and pending patent applications owned by third parties exist in the fields in which we are developing our product candidates. For example, we are aware of certain third-party patents, including those of our competitors, that may be construed to cover the use of our Boltbody ISACs for the treatment of cancer and of pending patent applications that, if issued with their current claim scope, may be construed to cover our Boltbody ISAC approach and product candidates more generally. In the event that any of these patents were asserted against us, we believe that we would have defenses against any such action, including that such patents are not valid or that we would be able to replace such technology with alternative, non-infringing technology. However, if any such patents were to be asserted against us and our defenses to such assertion were unsuccessful and such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product candidates that were ultimately held to infringe such patents. Any potential future legal proceedings relating to these patents could cause us to incur significant expenses and could distract our technical and management personnel from their normal responsibilities. If we are unsuccessful in our challenges to these patents and become subject to litigation or are unable to obtain a license on commercially reasonable terms with respect to these patents, it could harm our business, financial condition, results of operations and prospects.</w:t>
      </w:r>
    </w:p>
    <w:p>
      <w:pPr>
        <w:spacing w:after="0" w:line="231" w:lineRule="exact"/>
        <w:rPr>
          <w:sz w:val="20"/>
          <w:szCs w:val="20"/>
          <w:color w:val="auto"/>
        </w:rPr>
      </w:pPr>
    </w:p>
    <w:p>
      <w:pPr>
        <w:spacing w:after="0" w:line="323" w:lineRule="auto"/>
        <w:rPr>
          <w:sz w:val="20"/>
          <w:szCs w:val="20"/>
          <w:color w:val="auto"/>
        </w:rPr>
      </w:pPr>
      <w:r>
        <w:rPr>
          <w:rFonts w:ascii="Arial" w:cs="Arial" w:eastAsia="Arial" w:hAnsi="Arial"/>
          <w:sz w:val="15"/>
          <w:szCs w:val="15"/>
          <w:b w:val="1"/>
          <w:bCs w:val="1"/>
          <w:color w:val="auto"/>
        </w:rPr>
        <w:t>Third parties may assert infringement claims against us based on existing patents or patents that may be granted in the future, regardless of their merit. Even if we believe third-party intellectual property claims are without merit, there is no assurance that a court would find in our favor on questions of infringement, validity, enforceability or priority. A court of competent jurisdiction could hold that third-party patents asserted against us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and it could require us to make substantial licensing and royalty payments. We could be forced, including by court order, to cease commercializing the infringing technology or product candidates. A finding of infringement could prevent us from commercializing our product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b w:val="1"/>
          <w:bCs w:val="1"/>
          <w:color w:val="auto"/>
        </w:rPr>
        <w:t>We may be subject to claims by third parties asserting that we or our employees have infringed upon, misappropriated or otherwise violated their intellectual property rights, or claiming ownership of what we regard as our own intellectual property.</w:t>
      </w:r>
    </w:p>
    <w:p>
      <w:pPr>
        <w:spacing w:after="0" w:line="250" w:lineRule="exact"/>
        <w:rPr>
          <w:sz w:val="20"/>
          <w:szCs w:val="20"/>
          <w:color w:val="auto"/>
        </w:rPr>
      </w:pPr>
    </w:p>
    <w:p>
      <w:pPr>
        <w:ind w:right="100"/>
        <w:spacing w:after="0" w:line="353" w:lineRule="auto"/>
        <w:rPr>
          <w:sz w:val="20"/>
          <w:szCs w:val="20"/>
          <w:color w:val="auto"/>
        </w:rPr>
      </w:pPr>
      <w:r>
        <w:rPr>
          <w:rFonts w:ascii="Arial" w:cs="Arial" w:eastAsia="Arial" w:hAnsi="Arial"/>
          <w:sz w:val="15"/>
          <w:szCs w:val="15"/>
          <w:b w:val="1"/>
          <w:bCs w:val="1"/>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52</w:t>
      </w:r>
    </w:p>
    <w:p>
      <w:pPr>
        <w:sectPr>
          <w:pgSz w:w="12240" w:h="15840" w:orient="portrait"/>
          <w:cols w:equalWidth="0" w:num="1">
            <w:col w:w="9700"/>
          </w:cols>
          <w:pgMar w:left="1260" w:top="1089" w:right="1280" w:bottom="181" w:gutter="0" w:footer="0" w:header="0"/>
          <w:type w:val="continuous"/>
        </w:sectPr>
      </w:pPr>
    </w:p>
    <w:bookmarkStart w:id="92" w:name="page93"/>
    <w:bookmarkEnd w:id="92"/>
    <w:p>
      <w:pPr>
        <w:ind w:right="180"/>
        <w:spacing w:after="0" w:line="234" w:lineRule="auto"/>
        <w:rPr>
          <w:sz w:val="20"/>
          <w:szCs w:val="20"/>
          <w:color w:val="auto"/>
        </w:rPr>
      </w:pPr>
      <w:r>
        <w:rPr>
          <w:rFonts w:ascii="Arial" w:cs="Arial" w:eastAsia="Arial" w:hAnsi="Arial"/>
          <w:sz w:val="20"/>
          <w:szCs w:val="20"/>
          <w:b w:val="1"/>
          <w:bCs w:val="1"/>
          <w:color w:val="auto"/>
        </w:rPr>
        <w:t>property, including trade secrets or other proprietary information, of any such individual’s former employer. Litigation may be necessary to defend against these claims.</w:t>
      </w:r>
    </w:p>
    <w:p>
      <w:pPr>
        <w:spacing w:after="0" w:line="25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In addition, we or our licensors may be subject to claims that former employees, collaborators or other third parties have an interest in our owned or in-licensed patents or other intellectual property as an inventor or co-inventor. While it is our policy to require our employees and contractors who may be involved in the development of intellectual property to execute agreements assigning such intellectual property to us, we may be unsuccessful in executing such an agreement with each party who in fact conceives, develops or reduces to practice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232" w:lineRule="exact"/>
        <w:rPr>
          <w:sz w:val="20"/>
          <w:szCs w:val="20"/>
          <w:color w:val="auto"/>
        </w:rPr>
      </w:pPr>
    </w:p>
    <w:p>
      <w:pPr>
        <w:ind w:right="220"/>
        <w:spacing w:after="0" w:line="237" w:lineRule="auto"/>
        <w:rPr>
          <w:sz w:val="20"/>
          <w:szCs w:val="20"/>
          <w:color w:val="auto"/>
        </w:rPr>
      </w:pPr>
      <w:r>
        <w:rPr>
          <w:rFonts w:ascii="Arial" w:cs="Arial" w:eastAsia="Arial" w:hAnsi="Arial"/>
          <w:sz w:val="20"/>
          <w:szCs w:val="20"/>
          <w:b w:val="1"/>
          <w:bCs w:val="1"/>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product candidates and be a distraction to management. Any of the foregoing events would harm our business, financial condition, results of operations and prospects.</w:t>
      </w:r>
    </w:p>
    <w:p>
      <w:pPr>
        <w:spacing w:after="0" w:line="254" w:lineRule="exact"/>
        <w:rPr>
          <w:sz w:val="20"/>
          <w:szCs w:val="20"/>
          <w:color w:val="auto"/>
        </w:rPr>
      </w:pPr>
    </w:p>
    <w:p>
      <w:pPr>
        <w:ind w:right="300"/>
        <w:spacing w:after="0" w:line="234" w:lineRule="auto"/>
        <w:rPr>
          <w:sz w:val="20"/>
          <w:szCs w:val="20"/>
          <w:color w:val="auto"/>
        </w:rPr>
      </w:pPr>
      <w:r>
        <w:rPr>
          <w:rFonts w:ascii="Arial" w:cs="Arial" w:eastAsia="Arial" w:hAnsi="Arial"/>
          <w:sz w:val="20"/>
          <w:szCs w:val="20"/>
          <w:b w:val="1"/>
          <w:bCs w:val="1"/>
          <w:color w:val="auto"/>
        </w:rPr>
        <w:t>Intellectual property litigation could cause us to spend substantial resources and distract our personnel from their normal responsibilities.</w:t>
      </w:r>
    </w:p>
    <w:p>
      <w:pPr>
        <w:spacing w:after="0" w:line="252"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product candidates, if approved. Any of the foregoing events would harm our business, financial condition, results of operations and prospects.</w:t>
      </w:r>
    </w:p>
    <w:p>
      <w:pPr>
        <w:spacing w:after="0" w:line="222" w:lineRule="exact"/>
        <w:rPr>
          <w:sz w:val="20"/>
          <w:szCs w:val="20"/>
          <w:color w:val="auto"/>
        </w:rPr>
      </w:pPr>
    </w:p>
    <w:p>
      <w:pPr>
        <w:ind w:right="340"/>
        <w:spacing w:after="0" w:line="233" w:lineRule="auto"/>
        <w:rPr>
          <w:sz w:val="20"/>
          <w:szCs w:val="20"/>
          <w:color w:val="auto"/>
        </w:rPr>
      </w:pPr>
      <w:r>
        <w:rPr>
          <w:rFonts w:ascii="Arial" w:cs="Arial" w:eastAsia="Arial" w:hAnsi="Arial"/>
          <w:sz w:val="20"/>
          <w:szCs w:val="20"/>
          <w:b w:val="1"/>
          <w:bCs w:val="1"/>
          <w:color w:val="auto"/>
        </w:rPr>
        <w:t>If we are unable to protect the confidentiality of our trade secrets, our business and competitive position would be harmed.</w:t>
      </w:r>
    </w:p>
    <w:p>
      <w:pPr>
        <w:spacing w:after="0" w:line="252" w:lineRule="exact"/>
        <w:rPr>
          <w:sz w:val="20"/>
          <w:szCs w:val="20"/>
          <w:color w:val="auto"/>
        </w:rPr>
      </w:pPr>
    </w:p>
    <w:p>
      <w:pPr>
        <w:spacing w:after="0" w:line="324" w:lineRule="auto"/>
        <w:rPr>
          <w:sz w:val="20"/>
          <w:szCs w:val="20"/>
          <w:color w:val="auto"/>
        </w:rPr>
      </w:pPr>
      <w:r>
        <w:rPr>
          <w:rFonts w:ascii="Arial" w:cs="Arial" w:eastAsia="Arial" w:hAnsi="Arial"/>
          <w:sz w:val="15"/>
          <w:szCs w:val="15"/>
          <w:b w:val="1"/>
          <w:bCs w:val="1"/>
          <w:color w:val="auto"/>
        </w:rPr>
        <w:t>We rely on trade secrets and confidentiality agreements to protect our unpatented know-how, technology and other proprietary information and to maintain our competitive position. With respect to our Boltbody ISAC approach and development programs, we consider trade secrets and know-how to be one of our important sources of intellectual property, including our extensive knowledge of certain drug delivery techniques and antibody conjugation. Trade secrets and know-how can be difficult to protect. We seek to protect these trade secrets and other proprietary technology, in part, by entering into non-disclosure and confidentiality agreements with parties who have access to them, such as our employees,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third-party, we would have no right to prevent them from using that technology or information to compete with us. If any of our trade secrets were to be disclosed to or independently developed by a competitor or other third-party, our competitive position would be materially and adversely harmed.</w:t>
      </w:r>
    </w:p>
    <w:p>
      <w:pPr>
        <w:sectPr>
          <w:pgSz w:w="12240" w:h="15840" w:orient="portrait"/>
          <w:cols w:equalWidth="0" w:num="1">
            <w:col w:w="9680"/>
          </w:cols>
          <w:pgMar w:left="1260" w:top="1089" w:right="13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53</w:t>
      </w:r>
    </w:p>
    <w:p>
      <w:pPr>
        <w:sectPr>
          <w:pgSz w:w="12240" w:h="15840" w:orient="portrait"/>
          <w:cols w:equalWidth="0" w:num="1">
            <w:col w:w="9680"/>
          </w:cols>
          <w:pgMar w:left="1260" w:top="1089" w:right="1300" w:bottom="181" w:gutter="0" w:footer="0" w:header="0"/>
          <w:type w:val="continuous"/>
        </w:sectPr>
      </w:pPr>
    </w:p>
    <w:bookmarkStart w:id="93" w:name="page94"/>
    <w:bookmarkEnd w:id="93"/>
    <w:p>
      <w:pPr>
        <w:ind w:right="20"/>
        <w:spacing w:after="0" w:line="234" w:lineRule="auto"/>
        <w:rPr>
          <w:sz w:val="20"/>
          <w:szCs w:val="20"/>
          <w:color w:val="auto"/>
        </w:rPr>
      </w:pPr>
      <w:r>
        <w:rPr>
          <w:rFonts w:ascii="Arial" w:cs="Arial" w:eastAsia="Arial" w:hAnsi="Arial"/>
          <w:sz w:val="20"/>
          <w:szCs w:val="20"/>
          <w:b w:val="1"/>
          <w:bCs w:val="1"/>
          <w:color w:val="auto"/>
        </w:rPr>
        <w:t>We may not be able to protect and enforce our trademarks and trade names or build name recognition in our markets of interest thereby harming our competitive position.</w:t>
      </w:r>
    </w:p>
    <w:p>
      <w:pPr>
        <w:spacing w:after="0" w:line="250"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b w:val="1"/>
          <w:bCs w:val="1"/>
          <w:color w:val="auto"/>
        </w:rPr>
        <w:t>We intend to rely on both registered and common law rights for our trademarks. We have not yet registered certain of our trademarks in all of our potential markets, including our “Boltbody” and “Bolt Biotherapeutics” trademarks. We are currently applying to register these trademarks with the USPTO and may in the future seek to register additional trademarks in the United States and other countries. Our current and future trademark applications may not be allowed for registration in a timely fashion or at all, and our registered trademarks may not be maintained or enforced. In addition, the registered or unregistered trademarks or trade names that we own may be challenged, infringed, circumvented, declared generic, lapsed or determined to infringe on or dilutive of other marks. We may not be able to protect our rights in these trademarks and trade names or may be forced to stop using these names, which we need for name recognition by potential partners or customers in our markets of interest. In addition, third parties have filed, and may in the future file, for registration of trademarks similar or identical to our trademarks, thereby impeding our ability to build brand identity and possibly leading to market confusion. If they succeed in registering or developing common law rights in such trademarks, and if we are not successful in challenging such rights, we may not be able to use these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w:t>
      </w:r>
    </w:p>
    <w:p>
      <w:pPr>
        <w:spacing w:after="0" w:line="221"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color w:val="auto"/>
        </w:rPr>
        <w:t>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in the future be filed against our trademark applications or registrations, and our trademark applications or registrations may not survive such proceedings. In addition, third parties may file first for our trademarks in certain countries. If they succeed in registering such trademarks, and if we are not successful in challenging such third-party rights, we may not be able to use these trademarks to market our products in those countries. If we do not secure registrations for our trademarks, we may encounter more difficulty in enforcing them against third parties than we otherwise would. If we are unable to establish name recognition based on our trademarks and trade names, we may not be able to compete effectively, which could have a material adverse effect on our business, financial condition, results of operations and prospects.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 rights do not necessarily address all potential threats.</w:t>
      </w:r>
    </w:p>
    <w:p>
      <w:pPr>
        <w:spacing w:after="0" w:line="251" w:lineRule="exact"/>
        <w:rPr>
          <w:sz w:val="20"/>
          <w:szCs w:val="20"/>
          <w:color w:val="auto"/>
        </w:rPr>
      </w:pPr>
    </w:p>
    <w:p>
      <w:pPr>
        <w:ind w:right="100"/>
        <w:spacing w:after="0" w:line="235" w:lineRule="auto"/>
        <w:rPr>
          <w:sz w:val="20"/>
          <w:szCs w:val="20"/>
          <w:color w:val="auto"/>
        </w:rPr>
      </w:pPr>
      <w:r>
        <w:rPr>
          <w:rFonts w:ascii="Arial" w:cs="Arial" w:eastAsia="Arial" w:hAnsi="Arial"/>
          <w:sz w:val="20"/>
          <w:szCs w:val="20"/>
          <w:b w:val="1"/>
          <w:bCs w:val="1"/>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245" w:lineRule="exact"/>
        <w:rPr>
          <w:sz w:val="20"/>
          <w:szCs w:val="20"/>
          <w:color w:val="auto"/>
        </w:rPr>
      </w:pPr>
    </w:p>
    <w:p>
      <w:pPr>
        <w:jc w:val="center"/>
        <w:ind w:left="500" w:right="180"/>
        <w:spacing w:after="0" w:line="386" w:lineRule="auto"/>
        <w:rPr>
          <w:sz w:val="20"/>
          <w:szCs w:val="20"/>
          <w:color w:val="auto"/>
        </w:rPr>
      </w:pPr>
      <w:r>
        <w:rPr>
          <w:rFonts w:ascii="Arial" w:cs="Arial" w:eastAsia="Arial" w:hAnsi="Arial"/>
          <w:sz w:val="15"/>
          <w:szCs w:val="15"/>
          <w:b w:val="1"/>
          <w:bCs w:val="1"/>
          <w:color w:val="auto"/>
        </w:rPr>
        <w:t>others may be able to make products that are similar to any product candidates we may develop or utilize similar technology but that are not covered by the claims of the patents that we own or license now or in the future;</w:t>
      </w:r>
    </w:p>
    <w:p>
      <w:pPr>
        <w:spacing w:after="0" w:line="160" w:lineRule="exact"/>
        <w:rPr>
          <w:sz w:val="20"/>
          <w:szCs w:val="20"/>
          <w:color w:val="auto"/>
        </w:rPr>
      </w:pPr>
    </w:p>
    <w:p>
      <w:pPr>
        <w:ind w:left="500" w:right="220"/>
        <w:spacing w:after="0" w:line="254" w:lineRule="auto"/>
        <w:rPr>
          <w:sz w:val="20"/>
          <w:szCs w:val="20"/>
          <w:color w:val="auto"/>
        </w:rPr>
      </w:pPr>
      <w:r>
        <w:rPr>
          <w:rFonts w:ascii="Arial" w:cs="Arial" w:eastAsia="Arial" w:hAnsi="Arial"/>
          <w:sz w:val="19"/>
          <w:szCs w:val="19"/>
          <w:b w:val="1"/>
          <w:bCs w:val="1"/>
          <w:color w:val="auto"/>
        </w:rPr>
        <w:t>we, or our current or future licensors, might not have been the first to make the inventions covered by the issued patent or pending patent application that we own or license now or in the future;</w:t>
      </w:r>
    </w:p>
    <w:p>
      <w:pPr>
        <w:spacing w:after="0" w:line="250" w:lineRule="exact"/>
        <w:rPr>
          <w:sz w:val="20"/>
          <w:szCs w:val="20"/>
          <w:color w:val="auto"/>
        </w:rPr>
      </w:pPr>
    </w:p>
    <w:p>
      <w:pPr>
        <w:ind w:left="500" w:right="220"/>
        <w:spacing w:after="0" w:line="234" w:lineRule="auto"/>
        <w:rPr>
          <w:sz w:val="20"/>
          <w:szCs w:val="20"/>
          <w:color w:val="auto"/>
        </w:rPr>
      </w:pPr>
      <w:r>
        <w:rPr>
          <w:rFonts w:ascii="Arial" w:cs="Arial" w:eastAsia="Arial" w:hAnsi="Arial"/>
          <w:sz w:val="20"/>
          <w:szCs w:val="20"/>
          <w:b w:val="1"/>
          <w:bCs w:val="1"/>
          <w:color w:val="auto"/>
        </w:rPr>
        <w:t>we, or our current or future licensors, might not have been the first to file patent applications covering certain of our or their inventions;</w:t>
      </w:r>
    </w:p>
    <w:p>
      <w:pPr>
        <w:spacing w:after="0" w:line="266" w:lineRule="exact"/>
        <w:rPr>
          <w:sz w:val="20"/>
          <w:szCs w:val="20"/>
          <w:color w:val="auto"/>
        </w:rPr>
      </w:pPr>
    </w:p>
    <w:p>
      <w:pPr>
        <w:ind w:left="500" w:right="60"/>
        <w:spacing w:after="0" w:line="234" w:lineRule="auto"/>
        <w:rPr>
          <w:sz w:val="20"/>
          <w:szCs w:val="20"/>
          <w:color w:val="auto"/>
        </w:rPr>
      </w:pPr>
      <w:r>
        <w:rPr>
          <w:rFonts w:ascii="Arial" w:cs="Arial" w:eastAsia="Arial" w:hAnsi="Arial"/>
          <w:sz w:val="20"/>
          <w:szCs w:val="20"/>
          <w:b w:val="1"/>
          <w:bCs w:val="1"/>
          <w:color w:val="auto"/>
        </w:rPr>
        <w:t>others may independently develop similar or alternative technologies or duplicate any of our technologies without infringing our owned or licensed intellectual property rights;</w:t>
      </w:r>
    </w:p>
    <w:p>
      <w:pPr>
        <w:spacing w:after="0" w:line="266" w:lineRule="exact"/>
        <w:rPr>
          <w:sz w:val="20"/>
          <w:szCs w:val="20"/>
          <w:color w:val="auto"/>
        </w:rPr>
      </w:pPr>
    </w:p>
    <w:p>
      <w:pPr>
        <w:ind w:left="500" w:right="340"/>
        <w:spacing w:after="0" w:line="234" w:lineRule="auto"/>
        <w:rPr>
          <w:sz w:val="20"/>
          <w:szCs w:val="20"/>
          <w:color w:val="auto"/>
        </w:rPr>
      </w:pPr>
      <w:r>
        <w:rPr>
          <w:rFonts w:ascii="Arial" w:cs="Arial" w:eastAsia="Arial" w:hAnsi="Arial"/>
          <w:sz w:val="20"/>
          <w:szCs w:val="20"/>
          <w:b w:val="1"/>
          <w:bCs w:val="1"/>
          <w:color w:val="auto"/>
        </w:rPr>
        <w:t>it is possible that our pending owned or licensed patent applications or those that we may own or license in the future will not lead to issued patents;</w:t>
      </w:r>
    </w:p>
    <w:p>
      <w:pPr>
        <w:spacing w:after="0" w:line="264" w:lineRule="exact"/>
        <w:rPr>
          <w:sz w:val="20"/>
          <w:szCs w:val="20"/>
          <w:color w:val="auto"/>
        </w:rPr>
      </w:pPr>
    </w:p>
    <w:p>
      <w:pPr>
        <w:ind w:left="500" w:right="40"/>
        <w:spacing w:after="0" w:line="234" w:lineRule="auto"/>
        <w:rPr>
          <w:sz w:val="20"/>
          <w:szCs w:val="20"/>
          <w:color w:val="auto"/>
        </w:rPr>
      </w:pPr>
      <w:r>
        <w:rPr>
          <w:rFonts w:ascii="Arial" w:cs="Arial" w:eastAsia="Arial" w:hAnsi="Arial"/>
          <w:sz w:val="20"/>
          <w:szCs w:val="20"/>
          <w:b w:val="1"/>
          <w:bCs w:val="1"/>
          <w:color w:val="auto"/>
        </w:rPr>
        <w:t>issued patents that we hold rights to may be held invalid or unenforceable, including as a result of legal challenges by our competitors;</w:t>
      </w:r>
    </w:p>
    <w:p>
      <w:pPr>
        <w:sectPr>
          <w:pgSz w:w="12240" w:h="15840" w:orient="portrait"/>
          <w:cols w:equalWidth="0" w:num="1">
            <w:col w:w="9680"/>
          </w:cols>
          <w:pgMar w:left="1260" w:top="1089" w:right="13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54</w:t>
      </w:r>
    </w:p>
    <w:p>
      <w:pPr>
        <w:sectPr>
          <w:pgSz w:w="12240" w:h="15840" w:orient="portrait"/>
          <w:cols w:equalWidth="0" w:num="1">
            <w:col w:w="9680"/>
          </w:cols>
          <w:pgMar w:left="1260" w:top="1089" w:right="1300" w:bottom="181" w:gutter="0" w:footer="0" w:header="0"/>
          <w:type w:val="continuous"/>
        </w:sectPr>
      </w:pPr>
    </w:p>
    <w:bookmarkStart w:id="94" w:name="page95"/>
    <w:bookmarkEnd w:id="94"/>
    <w:p>
      <w:pPr>
        <w:ind w:left="500" w:right="260"/>
        <w:spacing w:after="0" w:line="236" w:lineRule="auto"/>
        <w:rPr>
          <w:sz w:val="20"/>
          <w:szCs w:val="20"/>
          <w:color w:val="auto"/>
        </w:rPr>
      </w:pPr>
      <w:r>
        <w:rPr>
          <w:rFonts w:ascii="Arial" w:cs="Arial" w:eastAsia="Arial" w:hAnsi="Arial"/>
          <w:sz w:val="20"/>
          <w:szCs w:val="20"/>
          <w:b w:val="1"/>
          <w:bCs w:val="1"/>
          <w:color w:val="auto"/>
        </w:rPr>
        <w:t>our competitors might conduct research and development activities in the United States under FDA-related safe harbor patent infringement exemptions and/or in countries where we do not have patent rights and then use the information learned from such activities to develop competitive products for sale in our major commercial markets;</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we may not develop additional proprietary technologies that are patentable;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the patents of others may harm our business; and</w:t>
      </w:r>
    </w:p>
    <w:p>
      <w:pPr>
        <w:spacing w:after="0" w:line="265" w:lineRule="exact"/>
        <w:rPr>
          <w:sz w:val="20"/>
          <w:szCs w:val="20"/>
          <w:color w:val="auto"/>
        </w:rPr>
      </w:pPr>
    </w:p>
    <w:p>
      <w:pPr>
        <w:ind w:left="500" w:right="240"/>
        <w:spacing w:after="0" w:line="234" w:lineRule="auto"/>
        <w:rPr>
          <w:sz w:val="20"/>
          <w:szCs w:val="20"/>
          <w:color w:val="auto"/>
        </w:rPr>
      </w:pPr>
      <w:r>
        <w:rPr>
          <w:rFonts w:ascii="Arial" w:cs="Arial" w:eastAsia="Arial" w:hAnsi="Arial"/>
          <w:sz w:val="20"/>
          <w:szCs w:val="20"/>
          <w:b w:val="1"/>
          <w:bCs w:val="1"/>
          <w:color w:val="auto"/>
        </w:rPr>
        <w:t>we may choose not to file a patent in order to maintain certain trade secrets or know-how, and a third party may subsequently file a patent covering such intellectual property.</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Should any of these events occur, they could harm our business, financial condition, results of operations and prospects.</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Operations, Employee Matters and Managing Growth</w:t>
      </w:r>
    </w:p>
    <w:p>
      <w:pPr>
        <w:spacing w:after="0" w:line="251"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color w:val="auto"/>
        </w:rPr>
        <w:t>Our business, operations and clinical development plans and timelines and supply chain could be adversely affected by macroeconomic uncertainties, including pandemics, labor shortages, inflation and monetary supply shifts, and potential disruptions from major geopolitical conflicts, on the manufacturing, clinical trial and other business activities performed by us or by third parties with whom we conduct business, including our contract development and manufacturing organizations, or CDMOs, contract research organizations, or CROs, shippers and others.</w:t>
      </w:r>
    </w:p>
    <w:p>
      <w:pPr>
        <w:spacing w:after="0" w:line="2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color w:val="auto"/>
        </w:rPr>
        <w:t>Our business has been, and is expected to continue to be, impacted by widespread macroeconomic uncertainties, including increased inflation and interest rates, financial and credit market fluctuations, changes in economic policy, pandemics, global supply chain constraints, and recent and potential disruptions in access to bank deposits or lending commitments due to bank failures. Such macroeconomic uncertainties may continue for an extended period and have adversely impacted, and may continue to adversely impact, many aspects of our business. Our business has been, and may continue to be, impacted by pandemics and resulting economic consequences. At present, we have implemented a flexible work-from-home policy allowing employees to work from home in jobs where that is reasonable. The effects of our work-from-home policies may negatively impact productivity, disrupt our business and delay our clinical programs and timelines.</w:t>
      </w:r>
    </w:p>
    <w:p>
      <w:pPr>
        <w:spacing w:after="0" w:line="231"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b w:val="1"/>
          <w:bCs w:val="1"/>
          <w:color w:val="auto"/>
        </w:rPr>
        <w:t>We are dependent on a global supply chain for products to be used in our clinical trials and, if approved by the regulatory authorities, for commercialization. Current macroeconomic uncertainties, including the effects of pandemics, could impact personnel at third-party manufacturing facilities in the United States and other countries, or the availability or cost of materials or supplies, which could disrupt our supply chain or our ability to enroll patients in or perform testing for our clinical trials.</w:t>
      </w:r>
    </w:p>
    <w:p>
      <w:pPr>
        <w:spacing w:after="0" w:line="254" w:lineRule="exact"/>
        <w:rPr>
          <w:sz w:val="20"/>
          <w:szCs w:val="20"/>
          <w:color w:val="auto"/>
        </w:rPr>
      </w:pPr>
    </w:p>
    <w:p>
      <w:pPr>
        <w:spacing w:after="0" w:line="254" w:lineRule="auto"/>
        <w:rPr>
          <w:sz w:val="20"/>
          <w:szCs w:val="20"/>
          <w:color w:val="auto"/>
        </w:rPr>
      </w:pPr>
      <w:r>
        <w:rPr>
          <w:rFonts w:ascii="Arial" w:cs="Arial" w:eastAsia="Arial" w:hAnsi="Arial"/>
          <w:sz w:val="19"/>
          <w:szCs w:val="19"/>
          <w:b w:val="1"/>
          <w:bCs w:val="1"/>
          <w:color w:val="auto"/>
        </w:rPr>
        <w:t>The ultimate impact of the current macroeconomic conditions remains highly uncertain and could have a material impact on our operations, and we will continue to monitor global economic conditions closely.</w:t>
      </w:r>
    </w:p>
    <w:p>
      <w:pPr>
        <w:spacing w:after="0" w:line="238" w:lineRule="exact"/>
        <w:rPr>
          <w:sz w:val="20"/>
          <w:szCs w:val="20"/>
          <w:color w:val="auto"/>
        </w:rPr>
      </w:pPr>
    </w:p>
    <w:p>
      <w:pPr>
        <w:spacing w:after="0" w:line="233" w:lineRule="auto"/>
        <w:rPr>
          <w:sz w:val="20"/>
          <w:szCs w:val="20"/>
          <w:color w:val="auto"/>
        </w:rPr>
      </w:pPr>
      <w:r>
        <w:rPr>
          <w:rFonts w:ascii="Arial" w:cs="Arial" w:eastAsia="Arial" w:hAnsi="Arial"/>
          <w:sz w:val="20"/>
          <w:szCs w:val="20"/>
          <w:b w:val="1"/>
          <w:bCs w:val="1"/>
          <w:color w:val="auto"/>
        </w:rPr>
        <w:t>Our future success depends on our ability to retain executives, key employees, consultants and advisors and to attract, retain and motivate qualified personnel.</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Our ability to compete in the highly competitive immuno-oncology and pharmaceutical industries depends upon our ability to attract and retain highly qualified managerial and scientific personnel. We are highly dependent on the management, research and development, clinical, financial and business development expertise of our executive officers, as well as the other members of our scientific and clinical teams. Although we have employment offer letters with each of our executive officers, each of them may terminate their employment with us at any time. We do not maintain “key person” insurance for any of our executives or employees.</w:t>
      </w:r>
    </w:p>
    <w:p>
      <w:pPr>
        <w:spacing w:after="0" w:line="228" w:lineRule="exact"/>
        <w:rPr>
          <w:sz w:val="20"/>
          <w:szCs w:val="20"/>
          <w:color w:val="auto"/>
        </w:rPr>
      </w:pPr>
    </w:p>
    <w:p>
      <w:pPr>
        <w:ind w:right="40"/>
        <w:spacing w:after="0" w:line="333" w:lineRule="auto"/>
        <w:rPr>
          <w:sz w:val="20"/>
          <w:szCs w:val="20"/>
          <w:color w:val="auto"/>
        </w:rPr>
      </w:pPr>
      <w:r>
        <w:rPr>
          <w:rFonts w:ascii="Arial" w:cs="Arial" w:eastAsia="Arial" w:hAnsi="Arial"/>
          <w:sz w:val="15"/>
          <w:szCs w:val="15"/>
          <w:b w:val="1"/>
          <w:bCs w:val="1"/>
          <w:color w:val="auto"/>
        </w:rPr>
        <w:t>Recruiting and retaining qualified scientific and clinical personnel and, if we are successful in obtaining marketing approval for our product candidates, sales and marketing personnel, is critical to our success. The loss of the services of our executive officers or other key employees could impede the achievement of our research, development and commercialization objectives and harm our ability to successfully implement our business strategy. In May 2024, we initiated a restructuring and reduction-in-force and appointed William Quinn as our new President and Chief Executive Officer. Management transitions may create uncertainty, divert resources and management attention, or impact public or</w:t>
      </w:r>
    </w:p>
    <w:p>
      <w:pPr>
        <w:sectPr>
          <w:pgSz w:w="12240" w:h="15840" w:orient="portrait"/>
          <w:cols w:equalWidth="0" w:num="1">
            <w:col w:w="9680"/>
          </w:cols>
          <w:pgMar w:left="1260" w:top="1081" w:right="1300" w:bottom="181"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55</w:t>
      </w:r>
    </w:p>
    <w:p>
      <w:pPr>
        <w:sectPr>
          <w:pgSz w:w="12240" w:h="15840" w:orient="portrait"/>
          <w:cols w:equalWidth="0" w:num="1">
            <w:col w:w="9680"/>
          </w:cols>
          <w:pgMar w:left="1260" w:top="1081" w:right="1300" w:bottom="181" w:gutter="0" w:footer="0" w:header="0"/>
          <w:type w:val="continuous"/>
        </w:sectPr>
      </w:pPr>
    </w:p>
    <w:bookmarkStart w:id="95" w:name="page96"/>
    <w:bookmarkEnd w:id="95"/>
    <w:p>
      <w:pPr>
        <w:ind w:right="520"/>
        <w:spacing w:after="0" w:line="234" w:lineRule="auto"/>
        <w:rPr>
          <w:sz w:val="20"/>
          <w:szCs w:val="20"/>
          <w:color w:val="auto"/>
        </w:rPr>
      </w:pPr>
      <w:r>
        <w:rPr>
          <w:rFonts w:ascii="Arial" w:cs="Arial" w:eastAsia="Arial" w:hAnsi="Arial"/>
          <w:sz w:val="20"/>
          <w:szCs w:val="20"/>
          <w:b w:val="1"/>
          <w:bCs w:val="1"/>
          <w:color w:val="auto"/>
        </w:rPr>
        <w:t>market perception, any of which could negatively impact the company's ability to operate effectively or execute its strategies and result in an adverse impact on its business.</w:t>
      </w:r>
    </w:p>
    <w:p>
      <w:pPr>
        <w:spacing w:after="0" w:line="250"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w:t>
      </w:r>
    </w:p>
    <w:p>
      <w:pPr>
        <w:spacing w:after="0" w:line="240"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color w:val="auto"/>
        </w:rPr>
        <w:t>Competition to hire qualified personnel in our industry is intense, and we may be unable to hire, train, retain or motivate these key personnel on acceptable terms given the competition among numerous pharmaceutical and biotechnology companies for similar personnel. We have experienced unwanted employee attrition which we believe has been due to such competition, and we may continue to experience unwanted employee attrition in the future. 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could harm our business, financial condition, results of operations and prospects.</w:t>
      </w:r>
    </w:p>
    <w:p>
      <w:pPr>
        <w:spacing w:after="0" w:line="237" w:lineRule="exact"/>
        <w:rPr>
          <w:sz w:val="20"/>
          <w:szCs w:val="20"/>
          <w:color w:val="auto"/>
        </w:rPr>
      </w:pPr>
    </w:p>
    <w:p>
      <w:pPr>
        <w:ind w:right="120"/>
        <w:spacing w:after="0" w:line="235" w:lineRule="auto"/>
        <w:rPr>
          <w:sz w:val="20"/>
          <w:szCs w:val="20"/>
          <w:color w:val="auto"/>
        </w:rPr>
      </w:pPr>
      <w:r>
        <w:rPr>
          <w:rFonts w:ascii="Arial" w:cs="Arial" w:eastAsia="Arial" w:hAnsi="Arial"/>
          <w:sz w:val="20"/>
          <w:szCs w:val="20"/>
          <w:b w:val="1"/>
          <w:b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25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auto"/>
        </w:rPr>
        <w:t>As of December 31, 2025, we had 23 employees. As our clinical development progresses, we expect to experience growth in the number of our employees and the scope of our operations, particularly in the areas of research, clinical operations, regulatory affairs, general and administrative and, if any of our product candidates receives marketing approval, sales, marketing and distribution. To manage our anticipated future growth, we must continue to implement and improve our managerial, operational and financial systems, and continue to recruit and train additional qualified personnel. Due to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30" w:lineRule="exact"/>
        <w:rPr>
          <w:sz w:val="20"/>
          <w:szCs w:val="20"/>
          <w:color w:val="auto"/>
        </w:rPr>
      </w:pPr>
    </w:p>
    <w:p>
      <w:pPr>
        <w:ind w:right="80"/>
        <w:spacing w:after="0" w:line="235" w:lineRule="auto"/>
        <w:rPr>
          <w:sz w:val="20"/>
          <w:szCs w:val="20"/>
          <w:color w:val="auto"/>
        </w:rPr>
      </w:pPr>
      <w:r>
        <w:rPr>
          <w:rFonts w:ascii="Arial" w:cs="Arial" w:eastAsia="Arial" w:hAnsi="Arial"/>
          <w:sz w:val="20"/>
          <w:szCs w:val="20"/>
          <w:b w:val="1"/>
          <w:bCs w:val="1"/>
          <w:color w:val="auto"/>
        </w:rPr>
        <w:t>Our employees, independent contractors, consultants, commercial collaborators, principal investigators, CROs and vendors may engage in misconduct or other improper activities, including non-compliance with regulatory standards and requirements.</w:t>
      </w:r>
    </w:p>
    <w:p>
      <w:pPr>
        <w:spacing w:after="0" w:line="253"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b w:val="1"/>
          <w:bCs w:val="1"/>
          <w:color w:val="auto"/>
        </w:rPr>
        <w:t>We are exposed to the risk that our employees, independent contractors, consultants, commercial collaborators, principal investigators, CROs and vendors may engage in fraudulent conduct or other illegal activity. Misconduct by these parties could include intentional, reckless or negligent conduct or unauthorized activities that violates (1) the laws and regulations of the FDA and other similar regulatory authorities, including those laws requiring the reporting of true, complete and accurate information to such authorities, (2) manufacturing standards, (3) federal and state data privacy, security, fraud and abuse and other healthcare laws and regulations in the United States and abroad and (4)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information obtained in the course of clinical trials, creating fraudulent data in our preclinical studies or clinical trials or illegal misappropriation of product candidates, which could result in regulatory sanctions and serious harm to our reputation.</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56</w:t>
      </w:r>
    </w:p>
    <w:p>
      <w:pPr>
        <w:sectPr>
          <w:pgSz w:w="12240" w:h="15840" w:orient="portrait"/>
          <w:cols w:equalWidth="0" w:num="1">
            <w:col w:w="9700"/>
          </w:cols>
          <w:pgMar w:left="1260" w:top="1089" w:right="1280" w:bottom="181" w:gutter="0" w:footer="0" w:header="0"/>
          <w:type w:val="continuous"/>
        </w:sectPr>
      </w:pPr>
    </w:p>
    <w:bookmarkStart w:id="96" w:name="page97"/>
    <w:bookmarkEnd w:id="96"/>
    <w:p>
      <w:pPr>
        <w:spacing w:after="0" w:line="285" w:lineRule="auto"/>
        <w:rPr>
          <w:sz w:val="20"/>
          <w:szCs w:val="20"/>
          <w:color w:val="auto"/>
        </w:rPr>
      </w:pPr>
      <w:r>
        <w:rPr>
          <w:rFonts w:ascii="Arial" w:cs="Arial" w:eastAsia="Arial" w:hAnsi="Arial"/>
          <w:sz w:val="17"/>
          <w:szCs w:val="17"/>
          <w:b w:val="1"/>
          <w:bCs w:val="1"/>
          <w:color w:val="auto"/>
        </w:rPr>
        <w:t>We have adopted a code of business conduct and ethics,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including damages, fines, disgorgement, imprisonment, exclusion from participation in government healthcare programs, such as Medicare and Medicaid, contractual damages, reputational harm and the delay, reduction, termination or restructuring of our operations.</w:t>
      </w:r>
    </w:p>
    <w:p>
      <w:pPr>
        <w:spacing w:after="0" w:line="218" w:lineRule="exact"/>
        <w:rPr>
          <w:sz w:val="20"/>
          <w:szCs w:val="20"/>
          <w:color w:val="auto"/>
        </w:rPr>
      </w:pPr>
    </w:p>
    <w:p>
      <w:pPr>
        <w:ind w:right="420"/>
        <w:spacing w:after="0" w:line="254" w:lineRule="auto"/>
        <w:rPr>
          <w:sz w:val="20"/>
          <w:szCs w:val="20"/>
          <w:color w:val="auto"/>
        </w:rPr>
      </w:pPr>
      <w:r>
        <w:rPr>
          <w:rFonts w:ascii="Arial" w:cs="Arial" w:eastAsia="Arial" w:hAnsi="Arial"/>
          <w:sz w:val="19"/>
          <w:szCs w:val="19"/>
          <w:b w:val="1"/>
          <w:bCs w:val="1"/>
          <w:color w:val="auto"/>
        </w:rPr>
        <w:t>Our international operations may expose us to business, regulatory, political, operational, financial, pricing and reimbursement risks associated with doing business outside of the United States.</w:t>
      </w:r>
    </w:p>
    <w:p>
      <w:pPr>
        <w:spacing w:after="0" w:line="238"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Our business is subject to risks associated with conducting business internationally. Some of our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may hire sales representatives and conduct physician and patient association outreach activities outside of the United States. Doing business internationally involves a number of risks, including but not limited to:</w:t>
      </w:r>
    </w:p>
    <w:p>
      <w:pPr>
        <w:spacing w:after="0" w:line="220" w:lineRule="exact"/>
        <w:rPr>
          <w:sz w:val="20"/>
          <w:szCs w:val="20"/>
          <w:color w:val="auto"/>
        </w:rPr>
      </w:pPr>
    </w:p>
    <w:p>
      <w:pPr>
        <w:jc w:val="right"/>
        <w:ind w:left="500" w:right="200"/>
        <w:spacing w:after="0" w:line="385" w:lineRule="auto"/>
        <w:rPr>
          <w:sz w:val="20"/>
          <w:szCs w:val="20"/>
          <w:color w:val="auto"/>
        </w:rPr>
      </w:pPr>
      <w:r>
        <w:rPr>
          <w:rFonts w:ascii="Arial" w:cs="Arial" w:eastAsia="Arial" w:hAnsi="Arial"/>
          <w:sz w:val="15"/>
          <w:szCs w:val="15"/>
          <w:b w:val="1"/>
          <w:bCs w:val="1"/>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failure by us to obtain and maintain regulatory approvals for the use of our products in various countries;</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rejection or qualification of foreign clinical trial data by the competent authorities of other countries;</w:t>
      </w:r>
    </w:p>
    <w:p>
      <w:pPr>
        <w:spacing w:after="0" w:line="265" w:lineRule="exact"/>
        <w:rPr>
          <w:sz w:val="20"/>
          <w:szCs w:val="20"/>
          <w:color w:val="auto"/>
        </w:rPr>
      </w:pPr>
    </w:p>
    <w:p>
      <w:pPr>
        <w:ind w:left="500" w:right="360"/>
        <w:spacing w:after="0" w:line="281" w:lineRule="auto"/>
        <w:rPr>
          <w:sz w:val="20"/>
          <w:szCs w:val="20"/>
          <w:color w:val="auto"/>
        </w:rPr>
      </w:pPr>
      <w:r>
        <w:rPr>
          <w:rFonts w:ascii="Arial" w:cs="Arial" w:eastAsia="Arial" w:hAnsi="Arial"/>
          <w:sz w:val="18"/>
          <w:szCs w:val="18"/>
          <w:b w:val="1"/>
          <w:bCs w:val="1"/>
          <w:color w:val="auto"/>
        </w:rPr>
        <w:t>delays or interruptions in the supply of clinical trial materials resulting from any events affecting raw material supply or manufacturing capabilities abroad, including those that may result from pandemics;</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additional potentially relevant third-party patent and other intellectual property rights;</w:t>
      </w:r>
    </w:p>
    <w:p>
      <w:pPr>
        <w:spacing w:after="0" w:line="265" w:lineRule="exact"/>
        <w:rPr>
          <w:sz w:val="20"/>
          <w:szCs w:val="20"/>
          <w:color w:val="auto"/>
        </w:rPr>
      </w:pPr>
    </w:p>
    <w:p>
      <w:pPr>
        <w:ind w:left="500" w:right="720"/>
        <w:spacing w:after="0" w:line="492" w:lineRule="auto"/>
        <w:rPr>
          <w:sz w:val="20"/>
          <w:szCs w:val="20"/>
          <w:color w:val="auto"/>
        </w:rPr>
      </w:pPr>
      <w:r>
        <w:rPr>
          <w:rFonts w:ascii="Arial" w:cs="Arial" w:eastAsia="Arial" w:hAnsi="Arial"/>
          <w:sz w:val="20"/>
          <w:szCs w:val="20"/>
          <w:b w:val="1"/>
          <w:bCs w:val="1"/>
          <w:color w:val="auto"/>
        </w:rPr>
        <w:t>complexities and difficulties in obtaining, maintaining, protecting and enforcing our intellectual property; difficulties in staffing and managing foreign operations;</w:t>
      </w:r>
    </w:p>
    <w:p>
      <w:pPr>
        <w:spacing w:after="0" w:line="24" w:lineRule="exact"/>
        <w:rPr>
          <w:sz w:val="20"/>
          <w:szCs w:val="20"/>
          <w:color w:val="auto"/>
        </w:rPr>
      </w:pPr>
    </w:p>
    <w:p>
      <w:pPr>
        <w:ind w:left="500" w:right="20"/>
        <w:spacing w:after="0" w:line="234" w:lineRule="auto"/>
        <w:rPr>
          <w:sz w:val="20"/>
          <w:szCs w:val="20"/>
          <w:color w:val="auto"/>
        </w:rPr>
      </w:pPr>
      <w:r>
        <w:rPr>
          <w:rFonts w:ascii="Arial" w:cs="Arial" w:eastAsia="Arial" w:hAnsi="Arial"/>
          <w:sz w:val="20"/>
          <w:szCs w:val="20"/>
          <w:b w:val="1"/>
          <w:bCs w:val="1"/>
          <w:color w:val="auto"/>
        </w:rPr>
        <w:t>complexities associated with managing multiple payor reimbursement regimes, government payors or patient self-pay systems;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limits in our ability to penetrate international markets;</w:t>
      </w:r>
    </w:p>
    <w:p>
      <w:pPr>
        <w:spacing w:after="0" w:line="265" w:lineRule="exact"/>
        <w:rPr>
          <w:sz w:val="20"/>
          <w:szCs w:val="20"/>
          <w:color w:val="auto"/>
        </w:rPr>
      </w:pPr>
    </w:p>
    <w:p>
      <w:pPr>
        <w:ind w:left="500" w:right="260"/>
        <w:spacing w:after="0" w:line="235" w:lineRule="auto"/>
        <w:rPr>
          <w:sz w:val="20"/>
          <w:szCs w:val="20"/>
          <w:color w:val="auto"/>
        </w:rPr>
      </w:pPr>
      <w:r>
        <w:rPr>
          <w:rFonts w:ascii="Arial" w:cs="Arial" w:eastAsia="Arial" w:hAnsi="Arial"/>
          <w:sz w:val="20"/>
          <w:szCs w:val="20"/>
          <w:b w:val="1"/>
          <w:bCs w:val="1"/>
          <w:color w:val="auto"/>
        </w:rPr>
        <w:t>financial risks, such as longer payment cycles, difficulty collecting accounts receivable, the impact of local and regional financial crises on demand and payment for our product candidates and exposure to foreign currency exchange rate fluctuations;</w:t>
      </w:r>
    </w:p>
    <w:p>
      <w:pPr>
        <w:spacing w:after="0" w:line="267" w:lineRule="exact"/>
        <w:rPr>
          <w:sz w:val="20"/>
          <w:szCs w:val="20"/>
          <w:color w:val="auto"/>
        </w:rPr>
      </w:pPr>
    </w:p>
    <w:p>
      <w:pPr>
        <w:ind w:left="500" w:right="380"/>
        <w:spacing w:after="0" w:line="234" w:lineRule="auto"/>
        <w:rPr>
          <w:sz w:val="20"/>
          <w:szCs w:val="20"/>
          <w:color w:val="auto"/>
        </w:rPr>
      </w:pPr>
      <w:r>
        <w:rPr>
          <w:rFonts w:ascii="Arial" w:cs="Arial" w:eastAsia="Arial" w:hAnsi="Arial"/>
          <w:sz w:val="20"/>
          <w:szCs w:val="20"/>
          <w:b w:val="1"/>
          <w:bCs w:val="1"/>
          <w:color w:val="auto"/>
        </w:rPr>
        <w:t>natural disasters, political and economic instability, including wars, terrorism and political unrest, outbreak of disease, boycotts, curtailment of trade and other business restrictions;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certain expenses including, among others, expenses for travel, translation and insurance; and</w:t>
      </w:r>
    </w:p>
    <w:p>
      <w:pPr>
        <w:spacing w:after="0" w:line="265" w:lineRule="exact"/>
        <w:rPr>
          <w:sz w:val="20"/>
          <w:szCs w:val="20"/>
          <w:color w:val="auto"/>
        </w:rPr>
      </w:pPr>
    </w:p>
    <w:p>
      <w:pPr>
        <w:ind w:left="500" w:right="120"/>
        <w:spacing w:after="0" w:line="252" w:lineRule="auto"/>
        <w:rPr>
          <w:sz w:val="20"/>
          <w:szCs w:val="20"/>
          <w:color w:val="auto"/>
        </w:rPr>
      </w:pPr>
      <w:r>
        <w:rPr>
          <w:rFonts w:ascii="Arial" w:cs="Arial" w:eastAsia="Arial" w:hAnsi="Arial"/>
          <w:sz w:val="19"/>
          <w:szCs w:val="19"/>
          <w:b w:val="1"/>
          <w:bCs w:val="1"/>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263" w:lineRule="exact"/>
        <w:rPr>
          <w:sz w:val="20"/>
          <w:szCs w:val="20"/>
          <w:color w:val="auto"/>
        </w:rPr>
      </w:pPr>
    </w:p>
    <w:p>
      <w:pPr>
        <w:ind w:right="440"/>
        <w:spacing w:after="0" w:line="234" w:lineRule="auto"/>
        <w:rPr>
          <w:sz w:val="20"/>
          <w:szCs w:val="20"/>
          <w:color w:val="auto"/>
        </w:rPr>
      </w:pPr>
      <w:r>
        <w:rPr>
          <w:rFonts w:ascii="Arial" w:cs="Arial" w:eastAsia="Arial" w:hAnsi="Arial"/>
          <w:sz w:val="20"/>
          <w:szCs w:val="20"/>
          <w:b w:val="1"/>
          <w:bCs w:val="1"/>
          <w:color w:val="auto"/>
        </w:rPr>
        <w:t>Any of these factors could harm our future international expansion and operations and, consequently, our results of operations.</w:t>
      </w:r>
    </w:p>
    <w:p>
      <w:pPr>
        <w:sectPr>
          <w:pgSz w:w="12240" w:h="15840" w:orient="portrait"/>
          <w:cols w:equalWidth="0" w:num="1">
            <w:col w:w="9660"/>
          </w:cols>
          <w:pgMar w:left="1260" w:top="1089" w:right="1320" w:bottom="181" w:gutter="0" w:footer="0" w:header="0"/>
        </w:sect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57</w:t>
      </w:r>
    </w:p>
    <w:p>
      <w:pPr>
        <w:sectPr>
          <w:pgSz w:w="12240" w:h="15840" w:orient="portrait"/>
          <w:cols w:equalWidth="0" w:num="1">
            <w:col w:w="9660"/>
          </w:cols>
          <w:pgMar w:left="1260" w:top="1089" w:right="1320" w:bottom="181" w:gutter="0" w:footer="0" w:header="0"/>
          <w:type w:val="continuous"/>
        </w:sectPr>
      </w:pPr>
    </w:p>
    <w:bookmarkStart w:id="97" w:name="page98"/>
    <w:bookmarkEnd w:id="97"/>
    <w:p>
      <w:pPr>
        <w:spacing w:after="0" w:line="234" w:lineRule="auto"/>
        <w:rPr>
          <w:sz w:val="20"/>
          <w:szCs w:val="20"/>
          <w:color w:val="auto"/>
        </w:rPr>
      </w:pPr>
      <w:r>
        <w:rPr>
          <w:rFonts w:ascii="Arial" w:cs="Arial" w:eastAsia="Arial" w:hAnsi="Arial"/>
          <w:sz w:val="20"/>
          <w:szCs w:val="20"/>
          <w:b w:val="1"/>
          <w:bCs w:val="1"/>
          <w:color w:val="auto"/>
        </w:rPr>
        <w:t>Our internal computer systems, or those used by our CROs or other contractors or consultants, may fail or experience security breaches or other unauthorized or improper access.</w:t>
      </w:r>
    </w:p>
    <w:p>
      <w:pPr>
        <w:spacing w:after="0" w:line="250" w:lineRule="exact"/>
        <w:rPr>
          <w:sz w:val="20"/>
          <w:szCs w:val="20"/>
          <w:color w:val="auto"/>
        </w:rPr>
      </w:pPr>
    </w:p>
    <w:p>
      <w:pPr>
        <w:spacing w:after="0" w:line="324" w:lineRule="auto"/>
        <w:rPr>
          <w:sz w:val="20"/>
          <w:szCs w:val="20"/>
          <w:color w:val="auto"/>
        </w:rPr>
      </w:pPr>
      <w:r>
        <w:rPr>
          <w:rFonts w:ascii="Arial" w:cs="Arial" w:eastAsia="Arial" w:hAnsi="Arial"/>
          <w:sz w:val="15"/>
          <w:szCs w:val="15"/>
          <w:b w:val="1"/>
          <w:bCs w:val="1"/>
          <w:color w:val="auto"/>
        </w:rPr>
        <w:t>Despite the implementation of security measures, our internal computer systems, and those of our CROs and other third parties on which we rely, are vulnerable to privacy and information security incidents, such as data breaches, damage from computer viruses and unauthorized access, malware, natural disasters, fire, terrorism, war and telecommunication, electrical failures, cyber-attacks or cyber-intrusions over the Internet, attachments to emails, and actions or lack of actions taken by internal personnel with access to our systems.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may pose material risks to our business. In particular, the risk of a security breach or disruption, particularly through cyber-attacks or cyber-intrusions, including by computer hackers, foreign governments and cyber terrorists, has generally increased as the number, intensity and sophistication of attempted attacks and intrusions from around the world have increased. While we have not experienced any such material system failure or security breach to our knowledge to date, if such an event were to occur and cause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Likewise, we rely on third parties for the manufacture of our product candidates and to conduct clinical trials, and similar incidents relating to their computer systems could also have a material adverse effect on our business.</w:t>
      </w:r>
    </w:p>
    <w:p>
      <w:pPr>
        <w:spacing w:after="0" w:line="200" w:lineRule="exact"/>
        <w:rPr>
          <w:sz w:val="20"/>
          <w:szCs w:val="20"/>
          <w:color w:val="auto"/>
        </w:rPr>
      </w:pPr>
    </w:p>
    <w:p>
      <w:pPr>
        <w:spacing w:after="0" w:line="22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color w:val="auto"/>
        </w:rPr>
        <w:t>Actual or alleged unauthorized disclosure of sensitive or confidential data, including personally identifiable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Further, we do not have any control over the operations of the facilities or technology of our cloud and service providers, including any third-party vendors that collect, process and store personal data on our behalf.</w:t>
      </w:r>
    </w:p>
    <w:p>
      <w:pPr>
        <w:spacing w:after="0" w:line="228" w:lineRule="exact"/>
        <w:rPr>
          <w:sz w:val="20"/>
          <w:szCs w:val="20"/>
          <w:color w:val="auto"/>
        </w:rPr>
      </w:pPr>
    </w:p>
    <w:p>
      <w:pPr>
        <w:ind w:right="20"/>
        <w:spacing w:after="0" w:line="324" w:lineRule="auto"/>
        <w:rPr>
          <w:sz w:val="20"/>
          <w:szCs w:val="20"/>
          <w:color w:val="auto"/>
        </w:rPr>
      </w:pPr>
      <w:r>
        <w:rPr>
          <w:rFonts w:ascii="Arial" w:cs="Arial" w:eastAsia="Arial" w:hAnsi="Arial"/>
          <w:sz w:val="15"/>
          <w:szCs w:val="15"/>
          <w:b w:val="1"/>
          <w:bCs w:val="1"/>
          <w:color w:val="auto"/>
        </w:rPr>
        <w:t>Our systems, servers and platforms and those of our service providers may be vulnerable to computer viruses or physical or electronic break-ins that our or their security measures may not detect. Individuals able to circumvent such security measures may misappropriate our confidential or proprietary information, disrupt our operations, damage our computers or otherwise impair our reputation and business. Threat actors, nation-states, and nation-state-supported actors now engage, and are expected to continue to engage, in cyber-attacks, including for geopolitical reasons and in connection with military conflicts and operations. During times of war and other major conflicts, we and the third parties upon which we rely may be vulnerable to heightened risk of these attacks, including cyber-attacks that could materially disrupt our systems and operations, supply chain, and ability to produce, sell and distribute our goods and services. We may need to expend significant resources and make significant capital investment to protect against security breaches or to mitigate the impact of any such breaches. There can be no assurance that we or our third-party providers will be successful in preventing cyber-attacks or successfully mitigating their effects. To the extent that any disruption or security breach were to result in a loss of, or damage to, our data or applications, or inappropriate disclosure of confidential or proprietary information, we could incur liability and the further development and commercialization of our future product candidates could be delayed. Generally,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w:t>
      </w:r>
    </w:p>
    <w:p>
      <w:pPr>
        <w:spacing w:after="0" w:line="200" w:lineRule="exact"/>
        <w:rPr>
          <w:sz w:val="20"/>
          <w:szCs w:val="20"/>
          <w:color w:val="auto"/>
        </w:rPr>
      </w:pPr>
    </w:p>
    <w:p>
      <w:pPr>
        <w:spacing w:after="0" w:line="233"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color w:val="auto"/>
        </w:rPr>
        <w:t>While we maintain cybersecurity insurance coverage that covers certain aspects of the cyber risks described above, any losses suffered by the company may not be adequately covered by insurance or other contractual rights available to us. The successful assertion of one or more large claims against us that exceed or are not covered by our insurance coverage or changes in our insurance policies, including premium increases or the imposition of large deductible or co-insurance requirements, could make us unable to acquire such insurance and may have an adverse effect on our business, financial condition, and results of operations.</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58</w:t>
      </w:r>
    </w:p>
    <w:p>
      <w:pPr>
        <w:sectPr>
          <w:pgSz w:w="12240" w:h="15840" w:orient="portrait"/>
          <w:cols w:equalWidth="0" w:num="1">
            <w:col w:w="9700"/>
          </w:cols>
          <w:pgMar w:left="1260" w:top="1089" w:right="1280" w:bottom="181" w:gutter="0" w:footer="0" w:header="0"/>
          <w:type w:val="continuous"/>
        </w:sectPr>
      </w:pPr>
    </w:p>
    <w:bookmarkStart w:id="98" w:name="page99"/>
    <w:bookmarkEnd w:id="98"/>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251" w:lineRule="exact"/>
        <w:rPr>
          <w:sz w:val="20"/>
          <w:szCs w:val="20"/>
          <w:color w:val="auto"/>
        </w:rPr>
      </w:pPr>
    </w:p>
    <w:p>
      <w:pPr>
        <w:ind w:right="340"/>
        <w:spacing w:after="0" w:line="233" w:lineRule="auto"/>
        <w:rPr>
          <w:sz w:val="20"/>
          <w:szCs w:val="20"/>
          <w:color w:val="auto"/>
        </w:rPr>
      </w:pPr>
      <w:r>
        <w:rPr>
          <w:rFonts w:ascii="Arial" w:cs="Arial" w:eastAsia="Arial" w:hAnsi="Arial"/>
          <w:sz w:val="20"/>
          <w:szCs w:val="20"/>
          <w:b w:val="1"/>
          <w:bCs w:val="1"/>
          <w:color w:val="auto"/>
        </w:rPr>
        <w:t>The trading price of the shares of our common stock may be volatile, and purchasers of our common stock could incur substantial losses.</w:t>
      </w:r>
    </w:p>
    <w:p>
      <w:pPr>
        <w:spacing w:after="0" w:line="252"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b w:val="1"/>
          <w:bCs w:val="1"/>
          <w:color w:val="auto"/>
        </w:rPr>
        <w:t>Our stock price may be volatile. The stock market in general and the market for 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adverse regulatory decisions;</w:t>
      </w:r>
    </w:p>
    <w:p>
      <w:pPr>
        <w:spacing w:after="0" w:line="262" w:lineRule="exact"/>
        <w:rPr>
          <w:sz w:val="20"/>
          <w:szCs w:val="20"/>
          <w:color w:val="auto"/>
        </w:rPr>
      </w:pPr>
    </w:p>
    <w:p>
      <w:pPr>
        <w:ind w:left="500" w:right="120"/>
        <w:spacing w:after="0" w:line="297" w:lineRule="auto"/>
        <w:rPr>
          <w:sz w:val="20"/>
          <w:szCs w:val="20"/>
          <w:color w:val="auto"/>
        </w:rPr>
      </w:pPr>
      <w:r>
        <w:rPr>
          <w:rFonts w:ascii="Arial" w:cs="Arial" w:eastAsia="Arial" w:hAnsi="Arial"/>
          <w:sz w:val="17"/>
          <w:szCs w:val="17"/>
          <w:b w:val="1"/>
          <w:bCs w:val="1"/>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219" w:lineRule="exact"/>
        <w:rPr>
          <w:sz w:val="20"/>
          <w:szCs w:val="20"/>
          <w:color w:val="auto"/>
        </w:rPr>
      </w:pPr>
    </w:p>
    <w:p>
      <w:pPr>
        <w:ind w:left="500" w:right="820"/>
        <w:spacing w:after="0" w:line="234" w:lineRule="auto"/>
        <w:rPr>
          <w:sz w:val="20"/>
          <w:szCs w:val="20"/>
          <w:color w:val="auto"/>
        </w:rPr>
      </w:pPr>
      <w:r>
        <w:rPr>
          <w:rFonts w:ascii="Arial" w:cs="Arial" w:eastAsia="Arial" w:hAnsi="Arial"/>
          <w:sz w:val="20"/>
          <w:szCs w:val="20"/>
          <w:b w:val="1"/>
          <w:bCs w:val="1"/>
          <w:color w:val="auto"/>
        </w:rPr>
        <w:t>the commencement, enrollment or results of any future clinical trials we may conduct, or changes in the development status of our product candidates;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adverse results from delays in or termination of clinical trials;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unanticipated serious safety concerns related to the use of our product candidates;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lower than expected market acceptance of our product candidates following approval for commercialization;</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changes in financial estimates by us or by any securities analysts who might cover our stock;</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conditions or trends in our industry, including changes in the structure of healthcare payment systems;</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changes in the market valuations of similar companies;</w:t>
      </w:r>
    </w:p>
    <w:p>
      <w:pPr>
        <w:spacing w:after="0" w:line="265" w:lineRule="exact"/>
        <w:rPr>
          <w:sz w:val="20"/>
          <w:szCs w:val="20"/>
          <w:color w:val="auto"/>
        </w:rPr>
      </w:pPr>
    </w:p>
    <w:p>
      <w:pPr>
        <w:ind w:left="500" w:right="140"/>
        <w:spacing w:after="0" w:line="233" w:lineRule="auto"/>
        <w:rPr>
          <w:sz w:val="20"/>
          <w:szCs w:val="20"/>
          <w:color w:val="auto"/>
        </w:rPr>
      </w:pPr>
      <w:r>
        <w:rPr>
          <w:rFonts w:ascii="Arial" w:cs="Arial" w:eastAsia="Arial" w:hAnsi="Arial"/>
          <w:sz w:val="20"/>
          <w:szCs w:val="20"/>
          <w:b w:val="1"/>
          <w:bCs w:val="1"/>
          <w:color w:val="auto"/>
        </w:rPr>
        <w:t>stock market price and volume fluctuations of comparable companies and, in particular, those that operate in the pharmaceutical industry;</w:t>
      </w:r>
    </w:p>
    <w:p>
      <w:pPr>
        <w:spacing w:after="0" w:line="266" w:lineRule="exact"/>
        <w:rPr>
          <w:sz w:val="20"/>
          <w:szCs w:val="20"/>
          <w:color w:val="auto"/>
        </w:rPr>
      </w:pPr>
    </w:p>
    <w:p>
      <w:pPr>
        <w:ind w:left="500" w:right="20"/>
        <w:spacing w:after="0" w:line="234" w:lineRule="auto"/>
        <w:rPr>
          <w:sz w:val="20"/>
          <w:szCs w:val="20"/>
          <w:color w:val="auto"/>
        </w:rPr>
      </w:pPr>
      <w:r>
        <w:rPr>
          <w:rFonts w:ascii="Arial" w:cs="Arial" w:eastAsia="Arial" w:hAnsi="Arial"/>
          <w:sz w:val="20"/>
          <w:szCs w:val="20"/>
          <w:b w:val="1"/>
          <w:bCs w:val="1"/>
          <w:color w:val="auto"/>
        </w:rPr>
        <w:t>publication of research reports about us or our industry or positive or negative recommendations or withdrawal of research coverage by securities analysts;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announcements by us or our competitors of significant acquisitions, strategic partnerships or divestitures;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announcements of investigations or regulatory scrutiny of our operations or lawsuits filed against us;</w:t>
      </w:r>
    </w:p>
    <w:p>
      <w:pPr>
        <w:spacing w:after="0" w:line="266" w:lineRule="exact"/>
        <w:rPr>
          <w:sz w:val="20"/>
          <w:szCs w:val="20"/>
          <w:color w:val="auto"/>
        </w:rPr>
      </w:pPr>
    </w:p>
    <w:p>
      <w:pPr>
        <w:ind w:left="500" w:right="4060"/>
        <w:spacing w:after="0" w:line="531" w:lineRule="auto"/>
        <w:rPr>
          <w:sz w:val="20"/>
          <w:szCs w:val="20"/>
          <w:color w:val="auto"/>
        </w:rPr>
      </w:pPr>
      <w:r>
        <w:rPr>
          <w:rFonts w:ascii="Arial" w:cs="Arial" w:eastAsia="Arial" w:hAnsi="Arial"/>
          <w:sz w:val="19"/>
          <w:szCs w:val="19"/>
          <w:b w:val="1"/>
          <w:bCs w:val="1"/>
          <w:color w:val="auto"/>
        </w:rPr>
        <w:t>investors’ general perception of our company and our business; recruitment or departure of key personnel;</w:t>
      </w:r>
    </w:p>
    <w:p>
      <w:pPr>
        <w:ind w:left="120"/>
        <w:spacing w:after="0"/>
        <w:rPr>
          <w:sz w:val="20"/>
          <w:szCs w:val="20"/>
          <w:color w:val="auto"/>
        </w:rPr>
      </w:pPr>
      <w:r>
        <w:rPr>
          <w:rFonts w:ascii="Arial" w:cs="Arial" w:eastAsia="Arial" w:hAnsi="Arial"/>
          <w:sz w:val="20"/>
          <w:szCs w:val="20"/>
          <w:b w:val="1"/>
          <w:bCs w:val="1"/>
          <w:color w:val="auto"/>
        </w:rPr>
        <w:t>overall performance of the equity markets;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trading volume of our common stock;</w:t>
      </w:r>
    </w:p>
    <w:p>
      <w:pPr>
        <w:spacing w:after="0" w:line="265" w:lineRule="exact"/>
        <w:rPr>
          <w:sz w:val="20"/>
          <w:szCs w:val="20"/>
          <w:color w:val="auto"/>
        </w:rPr>
      </w:pPr>
    </w:p>
    <w:p>
      <w:pPr>
        <w:ind w:left="500"/>
        <w:spacing w:after="0" w:line="236" w:lineRule="auto"/>
        <w:rPr>
          <w:sz w:val="20"/>
          <w:szCs w:val="20"/>
          <w:color w:val="auto"/>
        </w:rPr>
      </w:pPr>
      <w:r>
        <w:rPr>
          <w:rFonts w:ascii="Arial" w:cs="Arial" w:eastAsia="Arial" w:hAnsi="Arial"/>
          <w:sz w:val="20"/>
          <w:szCs w:val="20"/>
          <w:b w:val="1"/>
          <w:bCs w:val="1"/>
          <w:color w:val="auto"/>
        </w:rPr>
        <w:t>disputes or other developments relating to intellectual property rights, including patents, litigation matters and our ability to obtain, maintain, defend, protect and enforce patent and other intellectual property rights for our technologies;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significant lawsuits, including patent or stockholder litigation;</w:t>
      </w:r>
    </w:p>
    <w:p>
      <w:pPr>
        <w:sectPr>
          <w:pgSz w:w="12240" w:h="15840" w:orient="portrait"/>
          <w:cols w:equalWidth="0" w:num="1">
            <w:col w:w="9620"/>
          </w:cols>
          <w:pgMar w:left="1260" w:top="1079" w:right="136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59</w:t>
      </w:r>
    </w:p>
    <w:p>
      <w:pPr>
        <w:sectPr>
          <w:pgSz w:w="12240" w:h="15840" w:orient="portrait"/>
          <w:cols w:equalWidth="0" w:num="1">
            <w:col w:w="9620"/>
          </w:cols>
          <w:pgMar w:left="1260" w:top="1079" w:right="1360" w:bottom="181" w:gutter="0" w:footer="0" w:header="0"/>
          <w:type w:val="continuous"/>
        </w:sectPr>
      </w:pPr>
    </w:p>
    <w:bookmarkStart w:id="99" w:name="page100"/>
    <w:bookmarkEnd w:id="99"/>
    <w:p>
      <w:pPr>
        <w:ind w:left="500" w:right="300"/>
        <w:spacing w:after="0" w:line="234" w:lineRule="auto"/>
        <w:rPr>
          <w:sz w:val="20"/>
          <w:szCs w:val="20"/>
          <w:color w:val="auto"/>
        </w:rPr>
      </w:pPr>
      <w:r>
        <w:rPr>
          <w:rFonts w:ascii="Arial" w:cs="Arial" w:eastAsia="Arial" w:hAnsi="Arial"/>
          <w:sz w:val="20"/>
          <w:szCs w:val="20"/>
          <w:b w:val="1"/>
          <w:bCs w:val="1"/>
          <w:color w:val="auto"/>
        </w:rPr>
        <w:t>proposed changes to healthcare laws in the United States or foreign jurisdictions, or speculation regarding such changes;</w:t>
      </w:r>
    </w:p>
    <w:p>
      <w:pPr>
        <w:spacing w:after="0" w:line="264" w:lineRule="exact"/>
        <w:rPr>
          <w:sz w:val="20"/>
          <w:szCs w:val="20"/>
          <w:color w:val="auto"/>
        </w:rPr>
      </w:pPr>
    </w:p>
    <w:p>
      <w:pPr>
        <w:ind w:left="500" w:right="220"/>
        <w:spacing w:after="0" w:line="254" w:lineRule="auto"/>
        <w:rPr>
          <w:sz w:val="20"/>
          <w:szCs w:val="20"/>
          <w:color w:val="auto"/>
        </w:rPr>
      </w:pPr>
      <w:r>
        <w:rPr>
          <w:rFonts w:ascii="Arial" w:cs="Arial" w:eastAsia="Arial" w:hAnsi="Arial"/>
          <w:sz w:val="19"/>
          <w:szCs w:val="19"/>
          <w:b w:val="1"/>
          <w:bCs w:val="1"/>
          <w:color w:val="auto"/>
        </w:rPr>
        <w:t>general economic, political and market conditions and overall fluctuations in the financial markets in the United States and abroad, including as a result of pandemics and geopolitical events;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other events or factors, including those resulting from war, incidents of terrorism, or responses to these events; and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other events or factors, many of which are beyond our control.</w:t>
      </w:r>
    </w:p>
    <w:p>
      <w:pPr>
        <w:spacing w:after="0" w:line="274" w:lineRule="exact"/>
        <w:rPr>
          <w:sz w:val="20"/>
          <w:szCs w:val="20"/>
          <w:color w:val="auto"/>
        </w:rPr>
      </w:pPr>
    </w:p>
    <w:p>
      <w:pPr>
        <w:ind w:right="100"/>
        <w:spacing w:after="0" w:line="351" w:lineRule="auto"/>
        <w:rPr>
          <w:sz w:val="20"/>
          <w:szCs w:val="20"/>
          <w:color w:val="auto"/>
        </w:rPr>
      </w:pPr>
      <w:r>
        <w:rPr>
          <w:rFonts w:ascii="Arial" w:cs="Arial" w:eastAsia="Arial" w:hAnsi="Arial"/>
          <w:sz w:val="15"/>
          <w:szCs w:val="15"/>
          <w:b w:val="1"/>
          <w:bCs w:val="1"/>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172" w:lineRule="exact"/>
        <w:rPr>
          <w:sz w:val="20"/>
          <w:szCs w:val="20"/>
          <w:color w:val="auto"/>
        </w:rPr>
      </w:pPr>
    </w:p>
    <w:p>
      <w:pPr>
        <w:ind w:right="700"/>
        <w:spacing w:after="0" w:line="234" w:lineRule="auto"/>
        <w:rPr>
          <w:sz w:val="20"/>
          <w:szCs w:val="20"/>
          <w:color w:val="auto"/>
        </w:rPr>
      </w:pPr>
      <w:r>
        <w:rPr>
          <w:rFonts w:ascii="Arial" w:cs="Arial" w:eastAsia="Arial" w:hAnsi="Arial"/>
          <w:sz w:val="20"/>
          <w:szCs w:val="20"/>
          <w:b w:val="1"/>
          <w:bCs w:val="1"/>
          <w:color w:val="auto"/>
        </w:rPr>
        <w:t>Unstable market and economic conditions may have serious adverse consequences on our business, financial condition and share price.</w:t>
      </w:r>
    </w:p>
    <w:p>
      <w:pPr>
        <w:spacing w:after="0" w:line="252"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b w:val="1"/>
          <w:bCs w:val="1"/>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Russia-Ukraine war, the conflict in the Middle East and tariffs imposed by the current U.S. administration have each created volatility in the global capital markets and may have further adverse consequences for the global economy, including disruptions of the global supply chain and energy markets.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Inflation can adversely affect us by increasing our costs, including salary costs. Any significant increases in inflation and related increase in interest rates could harm our business, results of operations and financial condition.</w:t>
      </w:r>
    </w:p>
    <w:p>
      <w:pPr>
        <w:spacing w:after="0" w:line="216" w:lineRule="exact"/>
        <w:rPr>
          <w:sz w:val="20"/>
          <w:szCs w:val="20"/>
          <w:color w:val="auto"/>
        </w:rPr>
      </w:pPr>
    </w:p>
    <w:p>
      <w:pPr>
        <w:ind w:right="240"/>
        <w:spacing w:after="0" w:line="234" w:lineRule="auto"/>
        <w:rPr>
          <w:sz w:val="20"/>
          <w:szCs w:val="20"/>
          <w:color w:val="auto"/>
        </w:rPr>
      </w:pPr>
      <w:r>
        <w:rPr>
          <w:rFonts w:ascii="Arial" w:cs="Arial" w:eastAsia="Arial" w:hAnsi="Arial"/>
          <w:sz w:val="20"/>
          <w:szCs w:val="20"/>
          <w:b w:val="1"/>
          <w:bCs w:val="1"/>
          <w:color w:val="auto"/>
        </w:rPr>
        <w:t>If equity research analysts do not publish research or reports, or publish unfavorable research or reports about us, our business or our market, our stock price and trading volume could decline.</w:t>
      </w:r>
    </w:p>
    <w:p>
      <w:pPr>
        <w:spacing w:after="0" w:line="252"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b w:val="1"/>
          <w:bCs w:val="1"/>
          <w:color w:val="auto"/>
        </w:rPr>
        <w:t>The trading market for our common stock will be influenced by the research and reports that equity research analysts publish about us and our business. We do not currently have and may never obtain research coverage by equity research analysts. Equity research analysts may elect not to provide research coverage of our common stock after our initial public offering,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 coverage of our company or fails to publish reports on us regularly, demand for our stock could decrease, which in turn could cause our stock price or trading volume to decline.</w:t>
      </w:r>
    </w:p>
    <w:p>
      <w:pPr>
        <w:spacing w:after="0" w:line="220" w:lineRule="exact"/>
        <w:rPr>
          <w:sz w:val="20"/>
          <w:szCs w:val="20"/>
          <w:color w:val="auto"/>
        </w:rPr>
      </w:pPr>
    </w:p>
    <w:p>
      <w:pPr>
        <w:ind w:right="440"/>
        <w:spacing w:after="0" w:line="312" w:lineRule="auto"/>
        <w:rPr>
          <w:sz w:val="20"/>
          <w:szCs w:val="20"/>
          <w:color w:val="auto"/>
        </w:rPr>
      </w:pPr>
      <w:r>
        <w:rPr>
          <w:rFonts w:ascii="Arial" w:cs="Arial" w:eastAsia="Arial" w:hAnsi="Arial"/>
          <w:sz w:val="17"/>
          <w:szCs w:val="17"/>
          <w:b w:val="1"/>
          <w:bCs w:val="1"/>
          <w:color w:val="auto"/>
        </w:rPr>
        <w:t>A significant portion of our total outstanding common stock may be sold into the market in the near future. This could cause the market price of our common stock to drop significantly, even if our business is doing well.</w:t>
      </w:r>
    </w:p>
    <w:p>
      <w:pPr>
        <w:spacing w:after="0" w:line="193" w:lineRule="exact"/>
        <w:rPr>
          <w:sz w:val="20"/>
          <w:szCs w:val="20"/>
          <w:color w:val="auto"/>
        </w:rPr>
      </w:pPr>
    </w:p>
    <w:p>
      <w:pPr>
        <w:spacing w:after="0" w:line="236" w:lineRule="auto"/>
        <w:rPr>
          <w:sz w:val="20"/>
          <w:szCs w:val="20"/>
          <w:color w:val="auto"/>
        </w:rPr>
      </w:pPr>
      <w:r>
        <w:rPr>
          <w:rFonts w:ascii="Arial" w:cs="Arial" w:eastAsia="Arial" w:hAnsi="Arial"/>
          <w:sz w:val="20"/>
          <w:szCs w:val="20"/>
          <w:b w:val="1"/>
          <w:bCs w:val="1"/>
          <w:color w:val="auto"/>
        </w:rPr>
        <w:t>Sales of a substantial number of shares of our common stock in the public market could occur at any time, subject to the restrictions and limitations described below. If our stockholders sell, or the market perceives that our stockholders intend to sell, substantial amounts of our common stock in the public market, the market price of our common stock could decline significantly.</w:t>
      </w:r>
    </w:p>
    <w:p>
      <w:pPr>
        <w:spacing w:after="0" w:line="255" w:lineRule="exact"/>
        <w:rPr>
          <w:sz w:val="20"/>
          <w:szCs w:val="20"/>
          <w:color w:val="auto"/>
        </w:rPr>
      </w:pPr>
    </w:p>
    <w:p>
      <w:pPr>
        <w:ind w:right="20"/>
        <w:spacing w:after="0" w:line="297" w:lineRule="auto"/>
        <w:rPr>
          <w:sz w:val="20"/>
          <w:szCs w:val="20"/>
          <w:color w:val="auto"/>
        </w:rPr>
      </w:pPr>
      <w:r>
        <w:rPr>
          <w:rFonts w:ascii="Arial" w:cs="Arial" w:eastAsia="Arial" w:hAnsi="Arial"/>
          <w:sz w:val="17"/>
          <w:szCs w:val="17"/>
          <w:b w:val="1"/>
          <w:bCs w:val="1"/>
          <w:color w:val="auto"/>
        </w:rPr>
        <w:t>We have registered and intend to continue to register all shares of common stock that we may issue under our equity compensation plans. Once we register these shares, they can be freely sold in the public market upon issuance, subject to vesting arrangements and exercise of options and, in the case of our affiliates, the restrictions of Rule 144.</w:t>
      </w:r>
    </w:p>
    <w:p>
      <w:pPr>
        <w:sectPr>
          <w:pgSz w:w="12240" w:h="15840" w:orient="portrait"/>
          <w:cols w:equalWidth="0" w:num="1">
            <w:col w:w="9680"/>
          </w:cols>
          <w:pgMar w:left="1260" w:top="1081" w:right="13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60</w:t>
      </w:r>
    </w:p>
    <w:p>
      <w:pPr>
        <w:sectPr>
          <w:pgSz w:w="12240" w:h="15840" w:orient="portrait"/>
          <w:cols w:equalWidth="0" w:num="1">
            <w:col w:w="9680"/>
          </w:cols>
          <w:pgMar w:left="1260" w:top="1081" w:right="1300" w:bottom="181" w:gutter="0" w:footer="0" w:header="0"/>
          <w:type w:val="continuous"/>
        </w:sectPr>
      </w:pPr>
    </w:p>
    <w:bookmarkStart w:id="100" w:name="page101"/>
    <w:bookmarkEnd w:id="100"/>
    <w:p>
      <w:pPr>
        <w:ind w:right="260"/>
        <w:spacing w:after="0" w:line="235" w:lineRule="auto"/>
        <w:rPr>
          <w:sz w:val="20"/>
          <w:szCs w:val="20"/>
          <w:color w:val="auto"/>
        </w:rPr>
      </w:pPr>
      <w:r>
        <w:rPr>
          <w:rFonts w:ascii="Arial" w:cs="Arial" w:eastAsia="Arial" w:hAnsi="Arial"/>
          <w:sz w:val="20"/>
          <w:szCs w:val="20"/>
          <w:b w:val="1"/>
          <w:b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253"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provide for a classified board of directors whose members serve staggered terms;</w:t>
      </w:r>
    </w:p>
    <w:p>
      <w:pPr>
        <w:spacing w:after="0" w:line="265" w:lineRule="exact"/>
        <w:rPr>
          <w:sz w:val="20"/>
          <w:szCs w:val="20"/>
          <w:color w:val="auto"/>
        </w:rPr>
      </w:pPr>
    </w:p>
    <w:p>
      <w:pPr>
        <w:ind w:left="500" w:right="200"/>
        <w:spacing w:after="0" w:line="235" w:lineRule="auto"/>
        <w:rPr>
          <w:sz w:val="20"/>
          <w:szCs w:val="20"/>
          <w:color w:val="auto"/>
        </w:rPr>
      </w:pPr>
      <w:r>
        <w:rPr>
          <w:rFonts w:ascii="Arial" w:cs="Arial" w:eastAsia="Arial" w:hAnsi="Arial"/>
          <w:sz w:val="20"/>
          <w:szCs w:val="20"/>
          <w:b w:val="1"/>
          <w:bCs w:val="1"/>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267" w:lineRule="exact"/>
        <w:rPr>
          <w:sz w:val="20"/>
          <w:szCs w:val="20"/>
          <w:color w:val="auto"/>
        </w:rPr>
      </w:pPr>
    </w:p>
    <w:p>
      <w:pPr>
        <w:ind w:left="500" w:right="120"/>
        <w:spacing w:after="0" w:line="234" w:lineRule="auto"/>
        <w:rPr>
          <w:sz w:val="20"/>
          <w:szCs w:val="20"/>
          <w:color w:val="auto"/>
        </w:rPr>
      </w:pPr>
      <w:r>
        <w:rPr>
          <w:rFonts w:ascii="Arial" w:cs="Arial" w:eastAsia="Arial" w:hAnsi="Arial"/>
          <w:sz w:val="20"/>
          <w:szCs w:val="20"/>
          <w:b w:val="1"/>
          <w:bCs w:val="1"/>
          <w:color w:val="auto"/>
        </w:rPr>
        <w:t>require that any action taken by our stockholders be effected at a duly called annual or special meeting and not by written consent;</w:t>
      </w:r>
    </w:p>
    <w:p>
      <w:pPr>
        <w:spacing w:after="0" w:line="266" w:lineRule="exact"/>
        <w:rPr>
          <w:sz w:val="20"/>
          <w:szCs w:val="20"/>
          <w:color w:val="auto"/>
        </w:rPr>
      </w:pPr>
    </w:p>
    <w:p>
      <w:pPr>
        <w:ind w:left="500" w:right="220"/>
        <w:spacing w:after="0" w:line="234" w:lineRule="auto"/>
        <w:rPr>
          <w:sz w:val="20"/>
          <w:szCs w:val="20"/>
          <w:color w:val="auto"/>
        </w:rPr>
      </w:pPr>
      <w:r>
        <w:rPr>
          <w:rFonts w:ascii="Arial" w:cs="Arial" w:eastAsia="Arial" w:hAnsi="Arial"/>
          <w:sz w:val="20"/>
          <w:szCs w:val="20"/>
          <w:b w:val="1"/>
          <w:bCs w:val="1"/>
          <w:color w:val="auto"/>
        </w:rPr>
        <w:t>specify that special meetings of our stockholders can be called only by our board of directors, the chairperson of our board of directors or our chief executive officer;</w:t>
      </w:r>
    </w:p>
    <w:p>
      <w:pPr>
        <w:spacing w:after="0" w:line="264" w:lineRule="exact"/>
        <w:rPr>
          <w:sz w:val="20"/>
          <w:szCs w:val="20"/>
          <w:color w:val="auto"/>
        </w:rPr>
      </w:pPr>
    </w:p>
    <w:p>
      <w:pPr>
        <w:ind w:left="500" w:right="40"/>
        <w:spacing w:after="0" w:line="254" w:lineRule="auto"/>
        <w:rPr>
          <w:sz w:val="20"/>
          <w:szCs w:val="20"/>
          <w:color w:val="auto"/>
        </w:rPr>
      </w:pPr>
      <w:r>
        <w:rPr>
          <w:rFonts w:ascii="Arial" w:cs="Arial" w:eastAsia="Arial" w:hAnsi="Arial"/>
          <w:sz w:val="19"/>
          <w:szCs w:val="19"/>
          <w:b w:val="1"/>
          <w:bCs w:val="1"/>
          <w:color w:val="auto"/>
        </w:rPr>
        <w:t>establish an advance notice procedure for stockholder proposals to be brought before an annual meeting, including proposed nominations of persons for election to our board of directors;</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prohibit cumulative voting in the election of directors;</w:t>
      </w:r>
    </w:p>
    <w:p>
      <w:pPr>
        <w:spacing w:after="0" w:line="265" w:lineRule="exact"/>
        <w:rPr>
          <w:sz w:val="20"/>
          <w:szCs w:val="20"/>
          <w:color w:val="auto"/>
        </w:rPr>
      </w:pPr>
    </w:p>
    <w:p>
      <w:pPr>
        <w:ind w:left="500" w:right="240"/>
        <w:spacing w:after="0" w:line="234" w:lineRule="auto"/>
        <w:rPr>
          <w:sz w:val="20"/>
          <w:szCs w:val="20"/>
          <w:color w:val="auto"/>
        </w:rPr>
      </w:pPr>
      <w:r>
        <w:rPr>
          <w:rFonts w:ascii="Arial" w:cs="Arial" w:eastAsia="Arial" w:hAnsi="Arial"/>
          <w:sz w:val="20"/>
          <w:szCs w:val="20"/>
          <w:b w:val="1"/>
          <w:bCs w:val="1"/>
          <w:color w:val="auto"/>
        </w:rPr>
        <w:t>provide that our directors may be removed for cause only upon the vote of the holders of at least 66 2/3% of our outstanding shares of common stock;</w:t>
      </w:r>
    </w:p>
    <w:p>
      <w:pPr>
        <w:spacing w:after="0" w:line="266" w:lineRule="exact"/>
        <w:rPr>
          <w:sz w:val="20"/>
          <w:szCs w:val="20"/>
          <w:color w:val="auto"/>
        </w:rPr>
      </w:pPr>
    </w:p>
    <w:p>
      <w:pPr>
        <w:ind w:left="500" w:right="200"/>
        <w:spacing w:after="0" w:line="233" w:lineRule="auto"/>
        <w:rPr>
          <w:sz w:val="20"/>
          <w:szCs w:val="20"/>
          <w:color w:val="auto"/>
        </w:rPr>
      </w:pPr>
      <w:r>
        <w:rPr>
          <w:rFonts w:ascii="Arial" w:cs="Arial" w:eastAsia="Arial" w:hAnsi="Arial"/>
          <w:sz w:val="20"/>
          <w:szCs w:val="20"/>
          <w:b w:val="1"/>
          <w:bCs w:val="1"/>
          <w:color w:val="auto"/>
        </w:rPr>
        <w:t>provide that vacancies on our board of directors may be filled only by a majority of directors then in office, even though less than a quorum; and</w:t>
      </w:r>
    </w:p>
    <w:p>
      <w:pPr>
        <w:spacing w:after="0" w:line="266" w:lineRule="exact"/>
        <w:rPr>
          <w:sz w:val="20"/>
          <w:szCs w:val="20"/>
          <w:color w:val="auto"/>
        </w:rPr>
      </w:pPr>
    </w:p>
    <w:p>
      <w:pPr>
        <w:ind w:left="500" w:right="600"/>
        <w:spacing w:after="0" w:line="312" w:lineRule="auto"/>
        <w:rPr>
          <w:sz w:val="20"/>
          <w:szCs w:val="20"/>
          <w:color w:val="auto"/>
        </w:rPr>
      </w:pPr>
      <w:r>
        <w:rPr>
          <w:rFonts w:ascii="Arial" w:cs="Arial" w:eastAsia="Arial" w:hAnsi="Arial"/>
          <w:sz w:val="17"/>
          <w:szCs w:val="17"/>
          <w:b w:val="1"/>
          <w:bCs w:val="1"/>
          <w:color w:val="auto"/>
        </w:rPr>
        <w:t>require the approval of our board of directors or the holders of at least 66 2/3% of our outstanding shares of common stock to amend our bylaws and certain provisions of our certificate of incorporation.</w:t>
      </w:r>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or the DGCL,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the market price of our common stock to decline.</w:t>
      </w:r>
    </w:p>
    <w:p>
      <w:pPr>
        <w:spacing w:after="0" w:line="217" w:lineRule="exact"/>
        <w:rPr>
          <w:sz w:val="20"/>
          <w:szCs w:val="20"/>
          <w:color w:val="auto"/>
        </w:rPr>
      </w:pPr>
    </w:p>
    <w:p>
      <w:pPr>
        <w:ind w:right="580"/>
        <w:spacing w:after="0" w:line="233" w:lineRule="auto"/>
        <w:rPr>
          <w:sz w:val="20"/>
          <w:szCs w:val="20"/>
          <w:color w:val="auto"/>
        </w:rPr>
      </w:pPr>
      <w:r>
        <w:rPr>
          <w:rFonts w:ascii="Arial" w:cs="Arial" w:eastAsia="Arial" w:hAnsi="Arial"/>
          <w:sz w:val="20"/>
          <w:szCs w:val="20"/>
          <w:b w:val="1"/>
          <w:bCs w:val="1"/>
          <w:color w:val="auto"/>
        </w:rPr>
        <w:t>We will incur costs and demands upon our management as a result of complying with the laws and regulations affecting public companies in the United States, which may harm our business.</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As a public company listed in the United States, we will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regular business activities to compliance activities. If, notwithstanding our efforts, we fail to comply with new laws, regulations and standards, regulatory authorities may initiate legal proceedings against us, and our business may be harmed.</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61</w:t>
      </w:r>
    </w:p>
    <w:p>
      <w:pPr>
        <w:sectPr>
          <w:pgSz w:w="12240" w:h="15840" w:orient="portrait"/>
          <w:cols w:equalWidth="0" w:num="1">
            <w:col w:w="9700"/>
          </w:cols>
          <w:pgMar w:left="1260" w:top="1089" w:right="1280" w:bottom="181" w:gutter="0" w:footer="0" w:header="0"/>
          <w:type w:val="continuous"/>
        </w:sectPr>
      </w:pPr>
    </w:p>
    <w:bookmarkStart w:id="101" w:name="page102"/>
    <w:bookmarkEnd w:id="101"/>
    <w:p>
      <w:pPr>
        <w:ind w:right="20"/>
        <w:spacing w:after="0" w:line="270" w:lineRule="auto"/>
        <w:rPr>
          <w:sz w:val="20"/>
          <w:szCs w:val="20"/>
          <w:color w:val="auto"/>
        </w:rPr>
      </w:pPr>
      <w:r>
        <w:rPr>
          <w:rFonts w:ascii="Arial" w:cs="Arial" w:eastAsia="Arial" w:hAnsi="Arial"/>
          <w:sz w:val="18"/>
          <w:szCs w:val="18"/>
          <w:b w:val="1"/>
          <w:bCs w:val="1"/>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225"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b w:val="1"/>
          <w:bCs w:val="1"/>
          <w:color w:val="auto"/>
        </w:rPr>
        <w:t>We are an “emerging growth company” and a “smaller reporting company,” and as a result of the reduced reporting requirements applicable to “emerging growth companies” and “smaller reporting companies,” our common stock may be less attractive to investors.</w:t>
      </w:r>
    </w:p>
    <w:p>
      <w:pPr>
        <w:spacing w:after="0" w:line="250"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exemptions from the requirements of holding a nonbinding advisory vote on executive compensation and stockholder approval of any golden parachute payments not previously approved. We may take advantage of these exemptions until we are no longer an “emerging growth company.” We could be an “emerging growth company” for up to five years (until December 31, 2026), although circumstances could cause us to lose that status earlier, including if the aggregate market value of our common stock held by non-affiliates exceeds $700 million as of any June 30 (the end of our second quarter) before that time, in which case we would no longer be an “emerging growth company” as of the following December 31 (our year-end).</w:t>
      </w:r>
    </w:p>
    <w:p>
      <w:pPr>
        <w:spacing w:after="0" w:line="220"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color w:val="auto"/>
        </w:rPr>
        <w:t>We are also a “smaller reporting company,” as defined in the Exchange Act. Even after we no longer qualify as an “emerging growth company,” we may still qualify as a “smaller reporting company,” which would allow us to continue to take advantage of certain of the scaled disclosures available to “smaller reporting companies.” We cannot predict if investors will find our common stock less attractive because we may rely on these exemptions. If some investors find our common stock less attractive as a result, there may be a less active trading market for our common stock and the price of our common stock may be more volatile.</w:t>
      </w:r>
    </w:p>
    <w:p>
      <w:pPr>
        <w:spacing w:after="0" w:line="228" w:lineRule="exact"/>
        <w:rPr>
          <w:sz w:val="20"/>
          <w:szCs w:val="20"/>
          <w:color w:val="auto"/>
        </w:rPr>
      </w:pPr>
    </w:p>
    <w:p>
      <w:pPr>
        <w:ind w:right="220"/>
        <w:spacing w:after="0" w:line="234" w:lineRule="auto"/>
        <w:rPr>
          <w:sz w:val="20"/>
          <w:szCs w:val="20"/>
          <w:color w:val="auto"/>
        </w:rPr>
      </w:pPr>
      <w:r>
        <w:rPr>
          <w:rFonts w:ascii="Arial" w:cs="Arial" w:eastAsia="Arial" w:hAnsi="Arial"/>
          <w:sz w:val="20"/>
          <w:szCs w:val="20"/>
          <w:b w:val="1"/>
          <w:bCs w:val="1"/>
          <w:color w:val="auto"/>
        </w:rPr>
        <w:t>If we fail to maintain proper and effective internal control over financial reporting, our ability to produce accurate consolidated financial statements on a timely basis could be impaired.</w:t>
      </w:r>
    </w:p>
    <w:p>
      <w:pPr>
        <w:spacing w:after="0" w:line="250"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b w:val="1"/>
          <w:bCs w:val="1"/>
          <w:color w:val="auto"/>
        </w:rPr>
        <w:t>We are subject to the reporting requirements of the Securities Exchange Act of 1934, as amended, or the Exchange Act, the Sarbanes-Oxley Act and the rules and regulations of the Nasdaq Stock Market. Section 302 of the Sarbanes-Oxley Act requires, among other things, that we report on the effectiveness of our disclosure controls and procedures in our quarterly and annual reports.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w:t>
      </w:r>
    </w:p>
    <w:p>
      <w:pPr>
        <w:spacing w:after="0" w:line="213" w:lineRule="exact"/>
        <w:rPr>
          <w:sz w:val="20"/>
          <w:szCs w:val="20"/>
          <w:color w:val="auto"/>
        </w:rPr>
      </w:pPr>
    </w:p>
    <w:p>
      <w:pPr>
        <w:ind w:right="180"/>
        <w:spacing w:after="0" w:line="253" w:lineRule="auto"/>
        <w:rPr>
          <w:sz w:val="20"/>
          <w:szCs w:val="20"/>
          <w:color w:val="auto"/>
        </w:rPr>
      </w:pPr>
      <w:r>
        <w:rPr>
          <w:rFonts w:ascii="Arial" w:cs="Arial" w:eastAsia="Arial" w:hAnsi="Arial"/>
          <w:sz w:val="19"/>
          <w:szCs w:val="19"/>
          <w:b w:val="1"/>
          <w:bCs w:val="1"/>
          <w:color w:val="auto"/>
        </w:rPr>
        <w:t>If we are not able to comply with the requirements of Section 404 of the Sarbanes-Oxley Act , or if we are unable to maintain proper and effective internal control over financial reporting, we may not be able to produce timely and accurate consolidated financial statements. If that were to happen, the market price of our stock could decline and we could be subject to sanctions or investigations by the Nasdaq Stock Market, the SEC or other regulatory authorities. In addition, our common stock may not be able to remain listed on the Nasdaq Stock Market or any other securities exchange.</w:t>
      </w:r>
    </w:p>
    <w:p>
      <w:pPr>
        <w:spacing w:after="0" w:line="238" w:lineRule="exact"/>
        <w:rPr>
          <w:sz w:val="20"/>
          <w:szCs w:val="20"/>
          <w:color w:val="auto"/>
        </w:rPr>
      </w:pPr>
    </w:p>
    <w:p>
      <w:pPr>
        <w:ind w:right="500"/>
        <w:spacing w:after="0" w:line="312" w:lineRule="auto"/>
        <w:rPr>
          <w:sz w:val="20"/>
          <w:szCs w:val="20"/>
          <w:color w:val="auto"/>
        </w:rPr>
      </w:pPr>
      <w:r>
        <w:rPr>
          <w:rFonts w:ascii="Arial" w:cs="Arial" w:eastAsia="Arial" w:hAnsi="Arial"/>
          <w:sz w:val="17"/>
          <w:szCs w:val="17"/>
          <w:b w:val="1"/>
          <w:b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93"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In addition, the terms of any existing or future debt agreements may preclude us from paying dividends. As a result, capital appreciation, if any, of our common stock will be your sole source of gain for the foreseeable future. Investors seeking cash dividends should not purchase our common stock.</w:t>
      </w:r>
    </w:p>
    <w:p>
      <w:pPr>
        <w:spacing w:after="0" w:line="213"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b w:val="1"/>
          <w:bCs w:val="1"/>
          <w:color w:val="auto"/>
        </w:rPr>
        <w:t>Our amended and restated certificate of incorporation provides that the Court of Chancery of the State of Delaware and the federal district courts of the United States of America are the exclusive forums for substantially all disputes</w:t>
      </w:r>
    </w:p>
    <w:p>
      <w:pPr>
        <w:sectPr>
          <w:pgSz w:w="12240" w:h="15840" w:orient="portrait"/>
          <w:cols w:equalWidth="0" w:num="1">
            <w:col w:w="9660"/>
          </w:cols>
          <w:pgMar w:left="1260" w:top="1089" w:right="132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62</w:t>
      </w:r>
    </w:p>
    <w:p>
      <w:pPr>
        <w:sectPr>
          <w:pgSz w:w="12240" w:h="15840" w:orient="portrait"/>
          <w:cols w:equalWidth="0" w:num="1">
            <w:col w:w="9660"/>
          </w:cols>
          <w:pgMar w:left="1260" w:top="1089" w:right="1320" w:bottom="181" w:gutter="0" w:footer="0" w:header="0"/>
          <w:type w:val="continuous"/>
        </w:sectPr>
      </w:pPr>
    </w:p>
    <w:bookmarkStart w:id="102" w:name="page103"/>
    <w:bookmarkEnd w:id="102"/>
    <w:p>
      <w:pPr>
        <w:ind w:right="140"/>
        <w:spacing w:after="0" w:line="234" w:lineRule="auto"/>
        <w:rPr>
          <w:sz w:val="20"/>
          <w:szCs w:val="20"/>
          <w:color w:val="auto"/>
        </w:rPr>
      </w:pPr>
      <w:r>
        <w:rPr>
          <w:rFonts w:ascii="Arial" w:cs="Arial" w:eastAsia="Arial" w:hAnsi="Arial"/>
          <w:sz w:val="20"/>
          <w:szCs w:val="20"/>
          <w:b w:val="1"/>
          <w:bCs w:val="1"/>
          <w:color w:val="auto"/>
        </w:rPr>
        <w:t>between us and our stockholders, which could limit our stockholders’ ability to obtain a favorable judicial forum for disputes with us or our directors, officers or employees.</w:t>
      </w:r>
    </w:p>
    <w:p>
      <w:pPr>
        <w:spacing w:after="0" w:line="250"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any derivative action or proceeding brought on our behalf;</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any action asserting a breach of fiduciary duty;</w:t>
      </w:r>
    </w:p>
    <w:p>
      <w:pPr>
        <w:spacing w:after="0" w:line="265" w:lineRule="exact"/>
        <w:rPr>
          <w:sz w:val="20"/>
          <w:szCs w:val="20"/>
          <w:color w:val="auto"/>
        </w:rPr>
      </w:pPr>
    </w:p>
    <w:p>
      <w:pPr>
        <w:ind w:left="500" w:right="940"/>
        <w:spacing w:after="0" w:line="234" w:lineRule="auto"/>
        <w:rPr>
          <w:sz w:val="20"/>
          <w:szCs w:val="20"/>
          <w:color w:val="auto"/>
        </w:rPr>
      </w:pPr>
      <w:r>
        <w:rPr>
          <w:rFonts w:ascii="Arial" w:cs="Arial" w:eastAsia="Arial" w:hAnsi="Arial"/>
          <w:sz w:val="20"/>
          <w:szCs w:val="20"/>
          <w:b w:val="1"/>
          <w:bCs w:val="1"/>
          <w:color w:val="auto"/>
        </w:rPr>
        <w:t>any action asserting a claim against us arising under the DGCL, our amended and restated certificate of incorporation or our amended and restated bylaws; and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any action asserting a claim against us that is governed by the internal-affairs doctrine.</w:t>
      </w:r>
    </w:p>
    <w:p>
      <w:pPr>
        <w:spacing w:after="0" w:line="274" w:lineRule="exact"/>
        <w:rPr>
          <w:sz w:val="20"/>
          <w:szCs w:val="20"/>
          <w:color w:val="auto"/>
        </w:rPr>
      </w:pPr>
    </w:p>
    <w:p>
      <w:pPr>
        <w:spacing w:after="0" w:line="323" w:lineRule="auto"/>
        <w:rPr>
          <w:sz w:val="20"/>
          <w:szCs w:val="20"/>
          <w:color w:val="auto"/>
        </w:rPr>
      </w:pPr>
      <w:r>
        <w:rPr>
          <w:rFonts w:ascii="Arial" w:cs="Arial" w:eastAsia="Arial" w:hAnsi="Arial"/>
          <w:sz w:val="15"/>
          <w:szCs w:val="15"/>
          <w:b w:val="1"/>
          <w:bCs w:val="1"/>
          <w:color w:val="auto"/>
        </w:rPr>
        <w:t>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 applicable.</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Management and Strategy</w:t>
      </w:r>
    </w:p>
    <w:p>
      <w:pPr>
        <w:spacing w:after="0" w:line="131"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b w:val="1"/>
          <w:bCs w:val="1"/>
          <w:color w:val="auto"/>
        </w:rPr>
        <w:t>We have implemented and maintain various information security processes designed to identify, assess and manage material risks from cybersecurity threats to our critical computer networks, third-party hosted services, communications systems, hardware and software, and our critical data (such as information related to our product candidate development, collaboration activities and clinical trials), including intellectual property, confidential information that is proprietary, strategic or competitive in nature, and sensitive personnel data and other personal data (collectively, “Information Systems and Data”).</w:t>
      </w:r>
    </w:p>
    <w:p>
      <w:pPr>
        <w:spacing w:after="0" w:line="243" w:lineRule="exact"/>
        <w:rPr>
          <w:sz w:val="20"/>
          <w:szCs w:val="20"/>
          <w:color w:val="auto"/>
        </w:rPr>
      </w:pPr>
    </w:p>
    <w:p>
      <w:pPr>
        <w:spacing w:after="0" w:line="336" w:lineRule="auto"/>
        <w:rPr>
          <w:sz w:val="20"/>
          <w:szCs w:val="20"/>
          <w:color w:val="auto"/>
        </w:rPr>
      </w:pPr>
      <w:r>
        <w:rPr>
          <w:rFonts w:ascii="Arial" w:cs="Arial" w:eastAsia="Arial" w:hAnsi="Arial"/>
          <w:sz w:val="15"/>
          <w:szCs w:val="15"/>
          <w:b w:val="1"/>
          <w:bCs w:val="1"/>
          <w:color w:val="auto"/>
        </w:rPr>
        <w:t>Our information technology department, supported by certain service providers, identifies, assesses and manages the Company’s cybersecurity threats and risks. Our information technology department (led by our Associate Director of IT Operations), identifies and assesses risks from cybersecurity threats by monitoring and evaluating our threat environment using various methods including, for example, real-time monitoring of network events, subscribing to reports and services that identify cybersecurity threats, evaluating threats and actors reported to us, conducting scans of the threat</w:t>
      </w:r>
    </w:p>
    <w:p>
      <w:pPr>
        <w:sectPr>
          <w:pgSz w:w="12240" w:h="15840" w:orient="portrait"/>
          <w:cols w:equalWidth="0" w:num="1">
            <w:col w:w="9700"/>
          </w:cols>
          <w:pgMar w:left="1260" w:top="1089" w:right="1280" w:bottom="181"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63</w:t>
      </w:r>
    </w:p>
    <w:p>
      <w:pPr>
        <w:sectPr>
          <w:pgSz w:w="12240" w:h="15840" w:orient="portrait"/>
          <w:cols w:equalWidth="0" w:num="1">
            <w:col w:w="9700"/>
          </w:cols>
          <w:pgMar w:left="1260" w:top="1089" w:right="1280" w:bottom="181" w:gutter="0" w:footer="0" w:header="0"/>
          <w:type w:val="continuous"/>
        </w:sectPr>
      </w:pPr>
    </w:p>
    <w:bookmarkStart w:id="103" w:name="page104"/>
    <w:bookmarkEnd w:id="103"/>
    <w:p>
      <w:pPr>
        <w:jc w:val="both"/>
        <w:ind w:right="100"/>
        <w:spacing w:after="0" w:line="252" w:lineRule="auto"/>
        <w:rPr>
          <w:sz w:val="20"/>
          <w:szCs w:val="20"/>
          <w:color w:val="auto"/>
        </w:rPr>
      </w:pPr>
      <w:r>
        <w:rPr>
          <w:rFonts w:ascii="Arial" w:cs="Arial" w:eastAsia="Arial" w:hAnsi="Arial"/>
          <w:sz w:val="19"/>
          <w:szCs w:val="19"/>
          <w:b w:val="1"/>
          <w:bCs w:val="1"/>
          <w:color w:val="auto"/>
        </w:rPr>
        <w:t>environment, evaluating our and our industry’s risk profile, coordinating with law enforcement concerning threats when appropriate, conducting (and working with third parties, as appropriate) assessments and audits for internal and external threats and vulnerabilities, and using of external intelligence feeds.</w:t>
      </w:r>
    </w:p>
    <w:p>
      <w:pPr>
        <w:spacing w:after="0" w:line="241" w:lineRule="exact"/>
        <w:rPr>
          <w:sz w:val="20"/>
          <w:szCs w:val="20"/>
          <w:color w:val="auto"/>
        </w:rPr>
      </w:pPr>
    </w:p>
    <w:p>
      <w:pPr>
        <w:ind w:right="140"/>
        <w:spacing w:after="0" w:line="327" w:lineRule="auto"/>
        <w:rPr>
          <w:sz w:val="20"/>
          <w:szCs w:val="20"/>
          <w:color w:val="auto"/>
        </w:rPr>
      </w:pPr>
      <w:r>
        <w:rPr>
          <w:rFonts w:ascii="Arial" w:cs="Arial" w:eastAsia="Arial" w:hAnsi="Arial"/>
          <w:sz w:val="15"/>
          <w:szCs w:val="15"/>
          <w:b w:val="1"/>
          <w:bCs w:val="1"/>
          <w:color w:val="auto"/>
        </w:rPr>
        <w:t>We implement and maintain various technical, physical, and organizational measures, processes, and policies, designed to manage and mitigate material risks from cybersecurity threats to our Information Systems and Data, including, for example, an incident detection and response plan; vulnerability management processes; risk assessments; implementation of security standards; encryption of certain data; network security controls; segregation of certain data; access controls including multi-factor authentication for certain Information Systems and Data; physical security; asset management, tracking and disposal; systems monitoring; vendor risk management program; employee training; penetration testing; and cybersecurity insurance. Our assessment and management of material risks from cybersecurity threats is integrated into the Company’s overall risk management processes. For example, our information technology department presents updates on our IT environment and cybersecurity threats to the audit committee of the board of directors, which evaluates our overall enterprise risk and the effectiveness of our risk management approaches.</w:t>
      </w:r>
    </w:p>
    <w:p>
      <w:pPr>
        <w:spacing w:after="0" w:line="192" w:lineRule="exact"/>
        <w:rPr>
          <w:sz w:val="20"/>
          <w:szCs w:val="20"/>
          <w:color w:val="auto"/>
        </w:rPr>
      </w:pPr>
    </w:p>
    <w:p>
      <w:pPr>
        <w:ind w:right="80"/>
        <w:spacing w:after="0" w:line="351" w:lineRule="auto"/>
        <w:rPr>
          <w:sz w:val="20"/>
          <w:szCs w:val="20"/>
          <w:color w:val="auto"/>
        </w:rPr>
      </w:pPr>
      <w:r>
        <w:rPr>
          <w:rFonts w:ascii="Arial" w:cs="Arial" w:eastAsia="Arial" w:hAnsi="Arial"/>
          <w:sz w:val="15"/>
          <w:szCs w:val="15"/>
          <w:b w:val="1"/>
          <w:bCs w:val="1"/>
          <w:color w:val="auto"/>
        </w:rPr>
        <w:t>We use service providers to assist us from time to time to identify, assess, and manage material risks from cybersecurity threats. Such providers include but are not limited to legal counsel, threat intelligence service providers, cybersecurity consultants, cybersecurity software providers, managed security service providers, and penetration testing firms.</w:t>
      </w:r>
    </w:p>
    <w:p>
      <w:pPr>
        <w:spacing w:after="0" w:line="172"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color w:val="auto"/>
        </w:rPr>
        <w:t>We use service providers to perform a variety of functions throughout our business, such as application providers, hosting companies, contract research organizations, contract manufacturing organizations, distributors, and supply chain resources. We have a vendor management program designed to manage cybersecurity risks associated with our use of certain of these providers. The program includes a risk assessment for certain vendors that host our Information Systems and Data. For vendors who host our critical data, we have processes designed to assess the vendor’s ability to support business continuity and disaster recovery. Where appropriate, we conduct security questionnaires and a review of vendors’ security. This review may include reviewing program documentation, security reports and audits, conducting security assessment calls with the vendor's security personnel, and imposing information security-related contractual obligations on the vendor. We also request data privacy assessments from certain vendors as appropriate.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w:t>
      </w:r>
    </w:p>
    <w:p>
      <w:pPr>
        <w:spacing w:after="0" w:line="214" w:lineRule="exact"/>
        <w:rPr>
          <w:sz w:val="20"/>
          <w:szCs w:val="20"/>
          <w:color w:val="auto"/>
        </w:rPr>
      </w:pPr>
    </w:p>
    <w:p>
      <w:pPr>
        <w:ind w:right="240"/>
        <w:spacing w:after="0" w:line="237" w:lineRule="auto"/>
        <w:rPr>
          <w:sz w:val="20"/>
          <w:szCs w:val="20"/>
          <w:color w:val="auto"/>
        </w:rPr>
      </w:pPr>
      <w:r>
        <w:rPr>
          <w:rFonts w:ascii="Arial" w:cs="Arial" w:eastAsia="Arial" w:hAnsi="Arial"/>
          <w:sz w:val="20"/>
          <w:szCs w:val="20"/>
          <w:b w:val="1"/>
          <w:bCs w:val="1"/>
          <w:color w:val="auto"/>
        </w:rPr>
        <w:t>For a description of the risks from cybersecurity threats that may materially affect the Company and how they may do so, please see the risk factor in Part 1. Item 1A, including the risk factor entitled “Our internal computer systems, or those used by our CROs or other contractors or consultants, may fail or experience security breaches or other unauthorized or improper access.”</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w:t>
      </w:r>
    </w:p>
    <w:p>
      <w:pPr>
        <w:spacing w:after="0" w:line="131"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b w:val="1"/>
          <w:bCs w:val="1"/>
          <w:color w:val="auto"/>
        </w:rPr>
        <w:t>Our board of directors addresses the Company’s cybersecurity risk management as part of its general oversight function. The board of directors’ audit committee is responsible for overseeing Company’s cybersecurity risk management processes, including oversight of mitigation of risks from cybersecurity threats.</w:t>
      </w:r>
    </w:p>
    <w:p>
      <w:pPr>
        <w:spacing w:after="0" w:line="102" w:lineRule="exact"/>
        <w:rPr>
          <w:sz w:val="20"/>
          <w:szCs w:val="20"/>
          <w:color w:val="auto"/>
        </w:rPr>
      </w:pPr>
    </w:p>
    <w:p>
      <w:pPr>
        <w:ind w:right="400"/>
        <w:spacing w:after="0" w:line="312" w:lineRule="auto"/>
        <w:rPr>
          <w:sz w:val="20"/>
          <w:szCs w:val="20"/>
          <w:color w:val="auto"/>
        </w:rPr>
      </w:pPr>
      <w:r>
        <w:rPr>
          <w:rFonts w:ascii="Arial" w:cs="Arial" w:eastAsia="Arial" w:hAnsi="Arial"/>
          <w:sz w:val="17"/>
          <w:szCs w:val="17"/>
          <w:b w:val="1"/>
          <w:bCs w:val="1"/>
          <w:color w:val="auto"/>
        </w:rPr>
        <w:t>Our cybersecurity risk assessment and management processes are implemented and maintained by certain Company management, including our Associate Director of IT Operations and our Principal Accounting Officer.</w:t>
      </w:r>
    </w:p>
    <w:p>
      <w:pPr>
        <w:spacing w:after="0" w:line="70"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b w:val="1"/>
          <w:bCs w:val="1"/>
          <w:color w:val="auto"/>
        </w:rPr>
        <w:t>Our Associate Director of IT Operations is responsible for helping to integrate cybersecurity risk considerations into the Company’s overall risk management strategy, reviewing security assessments and other security-related reports, and communicating key priorities to relevant personnel. Our Principal Accounting Officer is responsible for hiring appropriate personnel, helping prepare budgets, helping prepare for cybersecurity incidents, and approving certain cybersecurity processes.</w:t>
      </w:r>
    </w:p>
    <w:p>
      <w:pPr>
        <w:spacing w:after="0" w:line="120" w:lineRule="exact"/>
        <w:rPr>
          <w:sz w:val="20"/>
          <w:szCs w:val="20"/>
          <w:color w:val="auto"/>
        </w:rPr>
      </w:pPr>
    </w:p>
    <w:p>
      <w:pPr>
        <w:ind w:right="40"/>
        <w:spacing w:after="0" w:line="336" w:lineRule="auto"/>
        <w:rPr>
          <w:sz w:val="20"/>
          <w:szCs w:val="20"/>
          <w:color w:val="auto"/>
        </w:rPr>
      </w:pPr>
      <w:r>
        <w:rPr>
          <w:rFonts w:ascii="Arial" w:cs="Arial" w:eastAsia="Arial" w:hAnsi="Arial"/>
          <w:sz w:val="15"/>
          <w:szCs w:val="15"/>
          <w:b w:val="1"/>
          <w:bCs w:val="1"/>
          <w:color w:val="auto"/>
        </w:rPr>
        <w:t>Our cybersecurity incident response and vulnerability management processes are designed to escalate certain cybersecurity incidents to members of management depending on the circumstances, including our Principal Accounting Officer. Our Principal Accounting Officer receives regular reports on the status of our cybersecurity measures, and works with the Company’s incident response team in an effort to help the Company mitigate and remediate cybersecurity incidents of which they are notified, and to assess and determine materiality for reporting purposes.</w:t>
      </w:r>
    </w:p>
    <w:p>
      <w:pPr>
        <w:spacing w:after="0" w:line="62" w:lineRule="exact"/>
        <w:rPr>
          <w:sz w:val="20"/>
          <w:szCs w:val="20"/>
          <w:color w:val="auto"/>
        </w:rPr>
      </w:pPr>
    </w:p>
    <w:p>
      <w:pPr>
        <w:spacing w:after="0" w:line="385" w:lineRule="auto"/>
        <w:rPr>
          <w:sz w:val="20"/>
          <w:szCs w:val="20"/>
          <w:color w:val="auto"/>
        </w:rPr>
      </w:pPr>
      <w:r>
        <w:rPr>
          <w:rFonts w:ascii="Arial" w:cs="Arial" w:eastAsia="Arial" w:hAnsi="Arial"/>
          <w:sz w:val="15"/>
          <w:szCs w:val="15"/>
          <w:b w:val="1"/>
          <w:bCs w:val="1"/>
          <w:color w:val="auto"/>
        </w:rPr>
        <w:t>The audit committee receives periodic written and verbal reports from our Principal Accounting Officer and directly from the information technology department concerning the Company’s significant cybersecurity threats and risk and the</w:t>
      </w:r>
    </w:p>
    <w:p>
      <w:pPr>
        <w:sectPr>
          <w:pgSz w:w="12240" w:h="15840" w:orient="portrait"/>
          <w:cols w:equalWidth="0" w:num="1">
            <w:col w:w="9700"/>
          </w:cols>
          <w:pgMar w:left="1260" w:top="1089" w:right="1280" w:bottom="181"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64</w:t>
      </w:r>
    </w:p>
    <w:p>
      <w:pPr>
        <w:sectPr>
          <w:pgSz w:w="12240" w:h="15840" w:orient="portrait"/>
          <w:cols w:equalWidth="0" w:num="1">
            <w:col w:w="9700"/>
          </w:cols>
          <w:pgMar w:left="1260" w:top="1089" w:right="1280" w:bottom="181" w:gutter="0" w:footer="0" w:header="0"/>
          <w:type w:val="continuous"/>
        </w:sectPr>
      </w:pPr>
    </w:p>
    <w:bookmarkStart w:id="104" w:name="page105"/>
    <w:bookmarkEnd w:id="104"/>
    <w:p>
      <w:pPr>
        <w:jc w:val="both"/>
        <w:ind w:right="60"/>
        <w:spacing w:after="0" w:line="235" w:lineRule="auto"/>
        <w:rPr>
          <w:sz w:val="20"/>
          <w:szCs w:val="20"/>
          <w:color w:val="auto"/>
        </w:rPr>
      </w:pPr>
      <w:r>
        <w:rPr>
          <w:rFonts w:ascii="Arial" w:cs="Arial" w:eastAsia="Arial" w:hAnsi="Arial"/>
          <w:sz w:val="20"/>
          <w:szCs w:val="20"/>
          <w:b w:val="1"/>
          <w:bCs w:val="1"/>
          <w:color w:val="auto"/>
        </w:rPr>
        <w:t>processes the Company has implemented that are intended to address them. The audit committee also receives from the Associate Director of IT Operations various written reports, summaries or presentations related to cybersecurity threats, risk, and mitigation.</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131" w:lineRule="exact"/>
        <w:rPr>
          <w:sz w:val="20"/>
          <w:szCs w:val="20"/>
          <w:color w:val="auto"/>
        </w:rPr>
      </w:pPr>
    </w:p>
    <w:p>
      <w:pPr>
        <w:spacing w:after="0" w:line="297" w:lineRule="auto"/>
        <w:rPr>
          <w:sz w:val="20"/>
          <w:szCs w:val="20"/>
          <w:color w:val="auto"/>
        </w:rPr>
      </w:pPr>
      <w:r>
        <w:rPr>
          <w:rFonts w:ascii="Arial" w:cs="Arial" w:eastAsia="Arial" w:hAnsi="Arial"/>
          <w:sz w:val="17"/>
          <w:szCs w:val="17"/>
          <w:b w:val="1"/>
          <w:bCs w:val="1"/>
          <w:color w:val="auto"/>
        </w:rPr>
        <w:t>Our headquarters are located in Redwood City, California, where we lease space in two locations totaling approximately 72,000 square feet, of which we have subleased approximately 26,000 square feet to third parties. Our lease expires in 2031. We believe that our headquarters and other offices are adequate for our current needs.</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12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From time to time, we may become involved in legal proceedings arising in the ordinary course of our business. There are currently no claims or actions pending against us, the ultimate disposition of which we believe could have a material adverse effect on our results of operations, financial condition or cash flows. We incorporate by reference into this Item our disclosures made in Note 6 to our Consolidated Financial Statements.</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 applicable.</w:t>
      </w:r>
    </w:p>
    <w:p>
      <w:pPr>
        <w:sectPr>
          <w:pgSz w:w="12240" w:h="15840" w:orient="portrait"/>
          <w:cols w:equalWidth="0" w:num="1">
            <w:col w:w="9640"/>
          </w:cols>
          <w:pgMar w:left="1260" w:top="1089" w:right="13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65</w:t>
      </w:r>
    </w:p>
    <w:p>
      <w:pPr>
        <w:sectPr>
          <w:pgSz w:w="12240" w:h="15840" w:orient="portrait"/>
          <w:cols w:equalWidth="0" w:num="1">
            <w:col w:w="9640"/>
          </w:cols>
          <w:pgMar w:left="1260" w:top="1089" w:right="1340" w:bottom="181" w:gutter="0" w:footer="0" w:header="0"/>
          <w:type w:val="continuous"/>
        </w:sectPr>
      </w:pPr>
    </w:p>
    <w:bookmarkStart w:id="105" w:name="page106"/>
    <w:bookmarkEnd w:id="105"/>
    <w:p>
      <w:pPr>
        <w:jc w:val="center"/>
        <w:ind w:right="-19"/>
        <w:spacing w:after="0"/>
        <w:rPr>
          <w:sz w:val="20"/>
          <w:szCs w:val="20"/>
          <w:color w:val="auto"/>
        </w:rPr>
      </w:pPr>
      <w:r>
        <w:rPr>
          <w:rFonts w:ascii="Arial" w:cs="Arial" w:eastAsia="Arial" w:hAnsi="Arial"/>
          <w:sz w:val="20"/>
          <w:szCs w:val="20"/>
          <w:b w:val="1"/>
          <w:bCs w:val="1"/>
          <w:color w:val="auto"/>
        </w:rPr>
        <w:t>PART II</w:t>
      </w:r>
    </w:p>
    <w:p>
      <w:pPr>
        <w:spacing w:after="0" w:line="251" w:lineRule="exact"/>
        <w:rPr>
          <w:sz w:val="20"/>
          <w:szCs w:val="20"/>
          <w:color w:val="auto"/>
        </w:rPr>
      </w:pPr>
    </w:p>
    <w:p>
      <w:pPr>
        <w:ind w:right="260"/>
        <w:spacing w:after="0" w:line="233"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January 6, 2025, the listing of our common stock was transferred to the Nasdaq Capital Market from</w:t>
      </w:r>
    </w:p>
    <w:p>
      <w:pPr>
        <w:spacing w:after="0" w:line="23"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b w:val="1"/>
          <w:bCs w:val="1"/>
          <w:color w:val="auto"/>
        </w:rPr>
        <w:t>the Nasdaq Global Select Market and trades under the symbol "BOLT". Prior to February 5, 2021, there was no public market for our common stock.</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 of Common Stock</w:t>
      </w:r>
    </w:p>
    <w:p>
      <w:pPr>
        <w:spacing w:after="0" w:line="129"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b w:val="1"/>
          <w:bCs w:val="1"/>
          <w:color w:val="auto"/>
        </w:rPr>
        <w:t>On March 6, 2026, there were approximately 11 holders of record of our common stock. Certain shares are held in “street” name and accordingly, the number of beneficial owners of such shares is not known or included in the foregoing number.</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131"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b w:val="1"/>
          <w:bCs w:val="1"/>
          <w:color w:val="auto"/>
        </w:rPr>
        <w:t>We have never declared or paid any dividends on our common stock. We currently intend to retain all available funds and any future earnings, if any, to fund the development and expansion of our business and we do not anticipate paying any cash dividends in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Price Performance Graph</w:t>
      </w:r>
    </w:p>
    <w:p>
      <w:pPr>
        <w:spacing w:after="0" w:line="131" w:lineRule="exact"/>
        <w:rPr>
          <w:sz w:val="20"/>
          <w:szCs w:val="20"/>
          <w:color w:val="auto"/>
        </w:rPr>
      </w:pPr>
    </w:p>
    <w:p>
      <w:pPr>
        <w:ind w:right="800"/>
        <w:spacing w:after="0" w:line="233" w:lineRule="auto"/>
        <w:rPr>
          <w:sz w:val="20"/>
          <w:szCs w:val="20"/>
          <w:color w:val="auto"/>
        </w:rPr>
      </w:pPr>
      <w:r>
        <w:rPr>
          <w:rFonts w:ascii="Arial" w:cs="Arial" w:eastAsia="Arial" w:hAnsi="Arial"/>
          <w:sz w:val="20"/>
          <w:szCs w:val="20"/>
          <w:b w:val="1"/>
          <w:bCs w:val="1"/>
          <w:color w:val="auto"/>
        </w:rPr>
        <w:t>As a “smaller reporting company” as defined by Item 10 of Regulation S-K, we are not required to provide this information.</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131" w:lineRule="exact"/>
        <w:rPr>
          <w:sz w:val="20"/>
          <w:szCs w:val="20"/>
          <w:color w:val="auto"/>
        </w:rPr>
      </w:pPr>
    </w:p>
    <w:p>
      <w:pPr>
        <w:spacing w:after="0" w:line="234" w:lineRule="auto"/>
        <w:rPr>
          <w:sz w:val="20"/>
          <w:szCs w:val="20"/>
          <w:color w:val="auto"/>
        </w:rPr>
      </w:pPr>
      <w:r>
        <w:rPr>
          <w:rFonts w:ascii="Arial" w:cs="Arial" w:eastAsia="Arial" w:hAnsi="Arial"/>
          <w:sz w:val="20"/>
          <w:szCs w:val="20"/>
          <w:b w:val="1"/>
          <w:bCs w:val="1"/>
          <w:color w:val="auto"/>
        </w:rPr>
        <w:t>Information about our equity compensation plans is incorporated herein by reference to Item 12 of Part III of this Annual Report on Form 10-K.</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Repurchases of Equity Securities.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Securities.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ectPr>
          <w:pgSz w:w="12240" w:h="15840" w:orient="portrait"/>
          <w:cols w:equalWidth="0" w:num="1">
            <w:col w:w="9700"/>
          </w:cols>
          <w:pgMar w:left="1260" w:top="107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66</w:t>
      </w:r>
    </w:p>
    <w:p>
      <w:pPr>
        <w:sectPr>
          <w:pgSz w:w="12240" w:h="15840" w:orient="portrait"/>
          <w:cols w:equalWidth="0" w:num="1">
            <w:col w:w="9700"/>
          </w:cols>
          <w:pgMar w:left="1260" w:top="1079" w:right="1280" w:bottom="181" w:gutter="0" w:footer="0" w:header="0"/>
          <w:type w:val="continuous"/>
        </w:sectPr>
      </w:pPr>
    </w:p>
    <w:bookmarkStart w:id="106" w:name="page107"/>
    <w:bookmarkEnd w:id="106"/>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51" w:lineRule="exact"/>
        <w:rPr>
          <w:sz w:val="20"/>
          <w:szCs w:val="20"/>
          <w:color w:val="auto"/>
        </w:rPr>
      </w:pPr>
    </w:p>
    <w:p>
      <w:pPr>
        <w:spacing w:after="0" w:line="252" w:lineRule="auto"/>
        <w:rPr>
          <w:sz w:val="20"/>
          <w:szCs w:val="20"/>
          <w:color w:val="auto"/>
        </w:rPr>
      </w:pPr>
      <w:r>
        <w:rPr>
          <w:rFonts w:ascii="Arial" w:cs="Arial" w:eastAsia="Arial" w:hAnsi="Arial"/>
          <w:sz w:val="19"/>
          <w:szCs w:val="19"/>
          <w:b w:val="1"/>
          <w:bCs w:val="1"/>
          <w:color w:val="auto"/>
        </w:rPr>
        <w:t>The following discussion and analysis of our financial condition and results of operations should be read in conjunction with our audited consolidated financial statements and related notes thereto included elsewhere in this Annual Report on Form-10K for the period ended December 31, 2025. Except as otherwise indicated herein or as the context otherwise requires, references in this Annual Report on Form 10-K to “Bolt Bio,” “the Company,” “we,” “us” and “our” refer to Bolt Biotherapeutics, Inc.</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51" w:lineRule="exact"/>
        <w:rPr>
          <w:sz w:val="20"/>
          <w:szCs w:val="20"/>
          <w:color w:val="auto"/>
        </w:rPr>
      </w:pPr>
    </w:p>
    <w:p>
      <w:pPr>
        <w:ind w:right="40"/>
        <w:spacing w:after="0" w:line="327" w:lineRule="auto"/>
        <w:rPr>
          <w:sz w:val="20"/>
          <w:szCs w:val="20"/>
          <w:color w:val="auto"/>
        </w:rPr>
      </w:pPr>
      <w:r>
        <w:rPr>
          <w:rFonts w:ascii="Arial" w:cs="Arial" w:eastAsia="Arial" w:hAnsi="Arial"/>
          <w:sz w:val="15"/>
          <w:szCs w:val="15"/>
          <w:b w:val="1"/>
          <w:bCs w:val="1"/>
          <w:color w:val="auto"/>
        </w:rPr>
        <w:t>Our mission is to harness the power of the immune system to improve lives and eradicate cancer. This often means that our product candidates take new and unproven approaches to treating cancer. We believe that taking smart risks is critical to making breakthroughs. Our pipeline candidates are built on our deep expertise in myeloid biology and cancer drug development. Our various approaches use pattern recognition receptors expressed by the innate immune system to help the body eliminate tumor cells as part of a productive anti-cancer response. Our proprietary Boltbody™ Immune-Stimulating Antibody Conjugate, or ISAC, platform technology combines tumor-targeting antibodies with immune-stimulating linker-payloads. We believe this approach has the potential to create products that work with a patient’s own immune system, resulting in anti-cancer activity with acceptable tolerability. Having explored more than one thousand distinct linker-payloads and multiple tumor targets, we know the importance of both the linker-payload and the antibody and have developed a library of linker-payloads for use in our own development programs and in our collaborations.</w:t>
      </w:r>
    </w:p>
    <w:p>
      <w:pPr>
        <w:spacing w:after="0" w:line="189" w:lineRule="exact"/>
        <w:rPr>
          <w:sz w:val="20"/>
          <w:szCs w:val="20"/>
          <w:color w:val="auto"/>
        </w:rPr>
      </w:pPr>
    </w:p>
    <w:p>
      <w:pPr>
        <w:ind w:right="40"/>
        <w:spacing w:after="0" w:line="328" w:lineRule="auto"/>
        <w:rPr>
          <w:sz w:val="20"/>
          <w:szCs w:val="20"/>
          <w:color w:val="auto"/>
        </w:rPr>
      </w:pPr>
      <w:r>
        <w:rPr>
          <w:rFonts w:ascii="Arial" w:cs="Arial" w:eastAsia="Arial" w:hAnsi="Arial"/>
          <w:sz w:val="15"/>
          <w:szCs w:val="15"/>
          <w:b w:val="1"/>
          <w:bCs w:val="1"/>
          <w:color w:val="auto"/>
        </w:rPr>
        <w:t>BDC-4182 is a next-generation Boltbody™ ISAC that targets the tumor-associated antigen claudin 18.2. Claudin 18.2 is a clinically validated target in oncology with zolbetuximab, a claudin 18.2-targeted monoclonal antibody, approved in Japan, the U.S., and other countries for the treatment of patients with claudin 18.2-positive, unresectable, advanced or recurrent gastric cancer in combination with chemotherapy. Other programs targeting claudin 18.2 are in development for the treatment of gastric/gastroesophageal junction cancer, pancreatic cancer, and other tumor types. BDC-4182 is supported by in vitro and in vivo experiments demonstrating potent anti-tumor activity in multiple preclinical models, safety and tolerability in toxicology studies, and enhanced anti-tumor activity compared to cytotoxic antibody-drug conjugates, or ADCs, in murine tumor models. Data on our claudin 18.2 Boltbody ISAC program was presented at the Society for Immunotherapy of Cancer’s (SITC) Annual Meetings in November of 2025, 2024 and 2023. The first-in-human Phase 1 dose escalation trial of BDC-4182 is ongoing in subjects with gastric/gastroesophageal junction cancer.</w:t>
      </w:r>
    </w:p>
    <w:p>
      <w:pPr>
        <w:spacing w:after="0" w:line="200" w:lineRule="exact"/>
        <w:rPr>
          <w:sz w:val="20"/>
          <w:szCs w:val="20"/>
          <w:color w:val="auto"/>
        </w:rPr>
      </w:pPr>
    </w:p>
    <w:p>
      <w:pPr>
        <w:spacing w:after="0" w:line="218"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b w:val="1"/>
          <w:bCs w:val="1"/>
          <w:color w:val="auto"/>
        </w:rPr>
        <w:t>BDC-3042, our first-in-class dectin-2 agonist antibody program, was developed to repolarize critical cells in the tumor microenvironment known as tumor associated macrophages (TAMs). Dectin-2 agonism changes these TAMs from tumor-supportive macrophages to tumor-destructive macrophages that elicit durable anti-tumor immune responses in preclinical models. In October 2023, we dosed the first patient with BDC-3042 in the Phase 1 dose-escalation study. In April 2025, we reported results from our dose escalation trial of BDC-3042, demonstrating a favorable safety profile, dose-dependent biologic activity, and monotherapy anti-tumor activity. BDC-3042 is available for partnering and we have paused its development.</w:t>
      </w:r>
    </w:p>
    <w:p>
      <w:pPr>
        <w:spacing w:after="0" w:line="226" w:lineRule="exact"/>
        <w:rPr>
          <w:sz w:val="20"/>
          <w:szCs w:val="20"/>
          <w:color w:val="auto"/>
        </w:rPr>
      </w:pPr>
    </w:p>
    <w:p>
      <w:pPr>
        <w:ind w:right="20"/>
        <w:spacing w:after="0" w:line="332" w:lineRule="auto"/>
        <w:rPr>
          <w:sz w:val="20"/>
          <w:szCs w:val="20"/>
          <w:color w:val="auto"/>
        </w:rPr>
      </w:pPr>
      <w:r>
        <w:rPr>
          <w:rFonts w:ascii="Arial" w:cs="Arial" w:eastAsia="Arial" w:hAnsi="Arial"/>
          <w:sz w:val="15"/>
          <w:szCs w:val="15"/>
          <w:b w:val="1"/>
          <w:bCs w:val="1"/>
          <w:color w:val="auto"/>
        </w:rPr>
        <w:t>In May 2024, we announced a strategic pipeline prioritization and restructuring plan pursuant to which we reduced overall operating expenses and discontinued development of trastuzumab imbotolimod, formerly known as BDC-1001, in order to focus on BDC-3042 and BDC-4182. The restructuring plan reduced our workforce by approximately 50 employees, or approximately 50% of our workforce. We incurred total restructuring charges of $3.6 million, including $2.9 million in one-time termination benefits, such as severance costs and related benefits, and $0.7 million in non-cash stock-based compensation expenses. The severance payments commenced in July 2024 and extended through July 2025.</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b w:val="1"/>
          <w:bCs w:val="1"/>
          <w:color w:val="auto"/>
        </w:rPr>
        <w:t>In October 2024, we established a wholly-owned subsidiary in Australia, Bolt Biotherapeutics Australia PTY LTD, to expand our global footprint and better serve our research and development programs in the region. We expect this strategic move to enhance our ability to deliver localized solutions, strengthen partnerships, and accelerate growth in the Australian life sciences market, which offers a supportive environment for research and development initiatives, including a tax regime that provides certain eligible companies with tax benefits.</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5"/>
          <w:szCs w:val="15"/>
          <w:b w:val="1"/>
          <w:bCs w:val="1"/>
          <w:color w:val="auto"/>
        </w:rPr>
        <w:t>In October 2025, we announced a restructuring plan pursuant to which we reduced our overall operating expenses in order to preserve cash. The restructuring plan included a reduction of our workforce by approximately 20 employees, or approximately 50% of our workforce. We incurred a restructuring charge of $1.5 million in one-time termination benefits, such as severance costs and related benefits. The reduction-in-force was complete by the end of 2025 and the</w:t>
      </w:r>
    </w:p>
    <w:p>
      <w:pPr>
        <w:sectPr>
          <w:pgSz w:w="12240" w:h="15840" w:orient="portrait"/>
          <w:cols w:equalWidth="0" w:num="1">
            <w:col w:w="9680"/>
          </w:cols>
          <w:pgMar w:left="1260" w:top="1079" w:right="1300" w:bottom="181"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67</w:t>
      </w:r>
    </w:p>
    <w:p>
      <w:pPr>
        <w:sectPr>
          <w:pgSz w:w="12240" w:h="15840" w:orient="portrait"/>
          <w:cols w:equalWidth="0" w:num="1">
            <w:col w:w="9680"/>
          </w:cols>
          <w:pgMar w:left="1260" w:top="1079" w:right="1300" w:bottom="181" w:gutter="0" w:footer="0" w:header="0"/>
          <w:type w:val="continuous"/>
        </w:sectPr>
      </w:pPr>
    </w:p>
    <w:bookmarkStart w:id="107" w:name="page108"/>
    <w:bookmarkEnd w:id="107"/>
    <w:p>
      <w:pPr>
        <w:ind w:right="240"/>
        <w:spacing w:after="0" w:line="234" w:lineRule="auto"/>
        <w:rPr>
          <w:sz w:val="20"/>
          <w:szCs w:val="20"/>
          <w:color w:val="auto"/>
        </w:rPr>
      </w:pPr>
      <w:r>
        <w:rPr>
          <w:rFonts w:ascii="Arial" w:cs="Arial" w:eastAsia="Arial" w:hAnsi="Arial"/>
          <w:sz w:val="20"/>
          <w:szCs w:val="20"/>
          <w:b w:val="1"/>
          <w:bCs w:val="1"/>
          <w:color w:val="auto"/>
        </w:rPr>
        <w:t>associated charges were recorded in the fourth quarter of 2025. The severance payments commenced in October 2025 and are expected to extend through July 2026.</w:t>
      </w:r>
    </w:p>
    <w:p>
      <w:pPr>
        <w:spacing w:after="0" w:line="250"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b w:val="1"/>
          <w:bCs w:val="1"/>
          <w:color w:val="auto"/>
        </w:rPr>
        <w:t>We have not recorded any revenue from product sales. To date, our only revenue has been derived from our collaborations with Toray, Genmab, and Innovent. In March 2019, we entered into the Toray Agreement to jointly develop and commercialize a Boltbody ISAC utilizing a Toray proprietary antibody. In May 2021, we entered into an oncology research and development collaboration with Genmab to evaluate Genmab antibodies in combination with our immune-stimulating linker-payloads, with the goal of discovering and developing next-generation ISACs for the treatment of cancer. The research collaboration will evaluate multiple ISAC product candidate concepts with the potential to identify up to three clinical candidates for development. In August 2021, we entered into an oncology research and development collaboration with Innovent to leverage Innovent’s proprietary therapeutic antibody portfolio and antibody discovery capability against undisclosed oncology targets in combination with our Boltbody ISAC technology and myeloid biology expertise to create new candidates for cancer treatments. In March 2024, we secured exclusive worldwide rights to BDC-4182 following the restructuring of the Innovent collaboration. Innovent and its affiliates are eligible to receive commercial and sales milestone payments as well as royalties on global net sales. We expect our collaborations with Toray and Genmab to add additional novel ISACs to our pipeline.</w:t>
      </w:r>
    </w:p>
    <w:p>
      <w:pPr>
        <w:spacing w:after="0" w:line="223"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b w:val="1"/>
          <w:bCs w:val="1"/>
          <w:color w:val="auto"/>
        </w:rPr>
        <w:t>We have incurred operating losses since our inception. Our net losses were $33.4 million and $63.1 million for the years ended December 31, 2025 and 2024, respectively. As of December 31, 2025, we had an accumulated deficit of $460.8 million. Substantially all of our net losses have resulted from costs incurred in connection with our research and development programs and from general and administrative costs associated with our operations. We expect to continue to incur significant expenses and operating losses for the foreseeable future as we: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conduct our ongoing and planned clinical trials;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continue our research and development programs;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continue our clinical, regulatory, quality and manufacturing capabilities;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seek regulatory approvals for our product candidates; and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operate as a public company.</w:t>
      </w:r>
    </w:p>
    <w:p>
      <w:pPr>
        <w:spacing w:after="0" w:line="274"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color w:val="auto"/>
        </w:rPr>
        <w:t>Our net losses may fluctuate significantly from year-to-year, depending on the timing of our planned clinical trials and preclinical studies, and our expenditures on other research and development activities.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Conditions and Macroeconomic Factors</w:t>
      </w:r>
    </w:p>
    <w:p>
      <w:pPr>
        <w:spacing w:after="0" w:line="251" w:lineRule="exact"/>
        <w:rPr>
          <w:sz w:val="20"/>
          <w:szCs w:val="20"/>
          <w:color w:val="auto"/>
        </w:rPr>
      </w:pPr>
    </w:p>
    <w:p>
      <w:pPr>
        <w:jc w:val="both"/>
        <w:ind w:right="120"/>
        <w:spacing w:after="0" w:line="320" w:lineRule="auto"/>
        <w:rPr>
          <w:sz w:val="20"/>
          <w:szCs w:val="20"/>
          <w:color w:val="auto"/>
        </w:rPr>
      </w:pPr>
      <w:r>
        <w:rPr>
          <w:rFonts w:ascii="Arial" w:cs="Arial" w:eastAsia="Arial" w:hAnsi="Arial"/>
          <w:sz w:val="15"/>
          <w:szCs w:val="15"/>
          <w:b w:val="1"/>
          <w:bCs w:val="1"/>
          <w:color w:val="auto"/>
        </w:rPr>
        <w:t>Macroeconomic factors, such as increased inflation and interest rates, financial and credit market fluctuations, changes in economic policy, global supply chain constraints, and recent and potential disruptions in access to bank deposits due to bank failures, have had, and we believe will continue to have, an impact on our business and results of operations.</w:t>
      </w:r>
    </w:p>
    <w:p>
      <w:pPr>
        <w:spacing w:after="0" w:line="1" w:lineRule="exact"/>
        <w:rPr>
          <w:sz w:val="20"/>
          <w:szCs w:val="20"/>
          <w:color w:val="auto"/>
        </w:rPr>
      </w:pPr>
    </w:p>
    <w:p>
      <w:pPr>
        <w:jc w:val="both"/>
        <w:ind w:right="140"/>
        <w:spacing w:after="0" w:line="233" w:lineRule="auto"/>
        <w:rPr>
          <w:sz w:val="20"/>
          <w:szCs w:val="20"/>
          <w:color w:val="auto"/>
        </w:rPr>
      </w:pPr>
      <w:r>
        <w:rPr>
          <w:rFonts w:ascii="Arial" w:cs="Arial" w:eastAsia="Arial" w:hAnsi="Arial"/>
          <w:sz w:val="20"/>
          <w:szCs w:val="20"/>
          <w:b w:val="1"/>
          <w:bCs w:val="1"/>
          <w:color w:val="auto"/>
        </w:rPr>
        <w:t>Similar, and perhaps more severe, disruptions in our operations could negatively impact our business, operating results and financial condition.</w:t>
      </w: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9"/>
          <w:szCs w:val="19"/>
          <w:b w:val="1"/>
          <w:bCs w:val="1"/>
          <w:color w:val="auto"/>
        </w:rPr>
        <w:t>The effects of a pandemic or major geopolitical developments, and associated economic conditions, remain difficult to predict due to numerous uncertainties. We believe that the direct and indirect impacts of these business conditions and macroeconomic factors are difficult to isolate or quantify. See Item 1A, Risk Factors, and the Special Note Regarding Forward-Looking Statements elsewhere in this Annual Report for additional details. We will continue to closely monitor and evaluate the nature and extent of these macroeconomic factors on our business, consolidated results of operations, and financial condition.</w:t>
      </w:r>
    </w:p>
    <w:p>
      <w:pPr>
        <w:sectPr>
          <w:pgSz w:w="12240" w:h="15840" w:orient="portrait"/>
          <w:cols w:equalWidth="0" w:num="1">
            <w:col w:w="9660"/>
          </w:cols>
          <w:pgMar w:left="1260" w:top="1089" w:right="132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68</w:t>
      </w:r>
    </w:p>
    <w:p>
      <w:pPr>
        <w:sectPr>
          <w:pgSz w:w="12240" w:h="15840" w:orient="portrait"/>
          <w:cols w:equalWidth="0" w:num="1">
            <w:col w:w="9660"/>
          </w:cols>
          <w:pgMar w:left="1260" w:top="1089" w:right="1320" w:bottom="181" w:gutter="0" w:footer="0" w:header="0"/>
          <w:type w:val="continuous"/>
        </w:sectPr>
      </w:pPr>
    </w:p>
    <w:bookmarkStart w:id="108" w:name="page109"/>
    <w:bookmarkEnd w:id="108"/>
    <w:p>
      <w:pPr>
        <w:spacing w:after="0"/>
        <w:rPr>
          <w:sz w:val="20"/>
          <w:szCs w:val="20"/>
          <w:color w:val="auto"/>
        </w:rPr>
      </w:pPr>
      <w:r>
        <w:rPr>
          <w:rFonts w:ascii="Arial" w:cs="Arial" w:eastAsia="Arial" w:hAnsi="Arial"/>
          <w:sz w:val="20"/>
          <w:szCs w:val="20"/>
          <w:b w:val="1"/>
          <w:bCs w:val="1"/>
          <w:color w:val="auto"/>
        </w:rPr>
        <w:t>Components of Results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249" w:lineRule="exact"/>
        <w:rPr>
          <w:sz w:val="20"/>
          <w:szCs w:val="20"/>
          <w:color w:val="auto"/>
        </w:rPr>
      </w:pPr>
    </w:p>
    <w:p>
      <w:pPr>
        <w:ind w:right="280"/>
        <w:spacing w:after="0" w:line="297" w:lineRule="auto"/>
        <w:rPr>
          <w:sz w:val="20"/>
          <w:szCs w:val="20"/>
          <w:color w:val="auto"/>
        </w:rPr>
      </w:pPr>
      <w:r>
        <w:rPr>
          <w:rFonts w:ascii="Arial" w:cs="Arial" w:eastAsia="Arial" w:hAnsi="Arial"/>
          <w:sz w:val="17"/>
          <w:szCs w:val="17"/>
          <w:b w:val="1"/>
          <w:bCs w:val="1"/>
          <w:color w:val="auto"/>
        </w:rPr>
        <w:t>To date, our only revenue has been collaboration revenue derived from our collaborations with Toray, Genmab, and Innovent. Collaboration revenue is derived primarily from upfront payments, research funding, and reimbursement of costs incurred as we perform research and development services under these agreements.</w:t>
      </w:r>
    </w:p>
    <w:p>
      <w:pPr>
        <w:spacing w:after="0" w:line="206"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b w:val="1"/>
          <w:bCs w:val="1"/>
          <w:color w:val="auto"/>
        </w:rPr>
        <w:t>Under these collaborations, we provide research, development, and related services in support of the discovery and early-stage development of oncology product candidates. Revenue is recognized over time based on our progress toward satisfying performance obligations, which is generally measured using inputs such as labor hours incurred and third-party costs.</w:t>
      </w:r>
    </w:p>
    <w:p>
      <w:pPr>
        <w:spacing w:after="0" w:line="255" w:lineRule="exact"/>
        <w:rPr>
          <w:sz w:val="20"/>
          <w:szCs w:val="20"/>
          <w:color w:val="auto"/>
        </w:rPr>
      </w:pPr>
    </w:p>
    <w:p>
      <w:pPr>
        <w:jc w:val="both"/>
        <w:ind w:right="260"/>
        <w:spacing w:after="0" w:line="236" w:lineRule="auto"/>
        <w:rPr>
          <w:sz w:val="20"/>
          <w:szCs w:val="20"/>
          <w:color w:val="auto"/>
        </w:rPr>
      </w:pPr>
      <w:r>
        <w:rPr>
          <w:rFonts w:ascii="Arial" w:cs="Arial" w:eastAsia="Arial" w:hAnsi="Arial"/>
          <w:sz w:val="20"/>
          <w:szCs w:val="20"/>
          <w:b w:val="1"/>
          <w:bCs w:val="1"/>
          <w:color w:val="auto"/>
        </w:rPr>
        <w:t>During the three months ended March 31, 2024, we recognized revenue related to a modification of our collaboration agreement with Innovent, which resulted in the recognition of previously deferred revenue associated with unsatisfied performance obligations.</w:t>
      </w:r>
    </w:p>
    <w:p>
      <w:pPr>
        <w:spacing w:after="0" w:line="253" w:lineRule="exact"/>
        <w:rPr>
          <w:sz w:val="20"/>
          <w:szCs w:val="20"/>
          <w:color w:val="auto"/>
        </w:rPr>
      </w:pPr>
    </w:p>
    <w:p>
      <w:pPr>
        <w:spacing w:after="0" w:line="252" w:lineRule="auto"/>
        <w:rPr>
          <w:sz w:val="20"/>
          <w:szCs w:val="20"/>
          <w:color w:val="auto"/>
        </w:rPr>
      </w:pPr>
      <w:r>
        <w:rPr>
          <w:rFonts w:ascii="Arial" w:cs="Arial" w:eastAsia="Arial" w:hAnsi="Arial"/>
          <w:sz w:val="19"/>
          <w:szCs w:val="19"/>
          <w:b w:val="1"/>
          <w:bCs w:val="1"/>
          <w:color w:val="auto"/>
        </w:rPr>
        <w:t>We expect that any collaboration revenue we generate from our current collaborations, and from any future collaboration partners, will fluctuate in the future as a result of the timing and outcome of development activities and the timing and amount paid, including upfront and milestone payments, and other factors.</w:t>
      </w:r>
    </w:p>
    <w:p>
      <w:pPr>
        <w:spacing w:after="0" w:line="241"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We have not generated any revenue from product sales, and we do not expect to generate any revenue from product sales unless and until we obtain regulatory approval of and commercialize one of our product candidates.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251"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b w:val="1"/>
          <w:bCs w:val="1"/>
          <w:color w:val="auto"/>
        </w:rPr>
        <w:t>Research and development expenses have related primarily to early research and discovery activities and to preclinical and clinical development of our product candidates. Research and development expenses are recognized as incurred and payments made prior to the receipt of goods or services to be used in research and development are capitalized until the goods or services are received.</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expenses include:</w:t>
      </w:r>
    </w:p>
    <w:p>
      <w:pPr>
        <w:spacing w:after="0" w:line="243" w:lineRule="exact"/>
        <w:rPr>
          <w:sz w:val="20"/>
          <w:szCs w:val="20"/>
          <w:color w:val="auto"/>
        </w:rPr>
      </w:pPr>
    </w:p>
    <w:p>
      <w:pPr>
        <w:ind w:left="500" w:right="80"/>
        <w:spacing w:after="0" w:line="234" w:lineRule="auto"/>
        <w:rPr>
          <w:sz w:val="20"/>
          <w:szCs w:val="20"/>
          <w:color w:val="auto"/>
        </w:rPr>
      </w:pPr>
      <w:r>
        <w:rPr>
          <w:rFonts w:ascii="Arial" w:cs="Arial" w:eastAsia="Arial" w:hAnsi="Arial"/>
          <w:sz w:val="20"/>
          <w:szCs w:val="20"/>
          <w:b w:val="1"/>
          <w:bCs w:val="1"/>
          <w:color w:val="auto"/>
        </w:rPr>
        <w:t>costs related to manufacturing our product candidates for clinical trials and preclinical studies, including fees paid to third-party CDMOs;</w:t>
      </w:r>
    </w:p>
    <w:p>
      <w:pPr>
        <w:spacing w:after="0" w:line="264" w:lineRule="exact"/>
        <w:rPr>
          <w:sz w:val="20"/>
          <w:szCs w:val="20"/>
          <w:color w:val="auto"/>
        </w:rPr>
      </w:pPr>
    </w:p>
    <w:p>
      <w:pPr>
        <w:ind w:left="500" w:right="120"/>
        <w:spacing w:after="0" w:line="234" w:lineRule="auto"/>
        <w:rPr>
          <w:sz w:val="20"/>
          <w:szCs w:val="20"/>
          <w:color w:val="auto"/>
        </w:rPr>
      </w:pPr>
      <w:r>
        <w:rPr>
          <w:rFonts w:ascii="Arial" w:cs="Arial" w:eastAsia="Arial" w:hAnsi="Arial"/>
          <w:sz w:val="20"/>
          <w:szCs w:val="20"/>
          <w:b w:val="1"/>
          <w:bCs w:val="1"/>
          <w:color w:val="auto"/>
        </w:rPr>
        <w:t>salaries, payroll taxes, employee benefits and stock-based compensation charges for those individuals involved in research and development efforts;</w:t>
      </w:r>
    </w:p>
    <w:p>
      <w:pPr>
        <w:spacing w:after="0" w:line="266" w:lineRule="exact"/>
        <w:rPr>
          <w:sz w:val="20"/>
          <w:szCs w:val="20"/>
          <w:color w:val="auto"/>
        </w:rPr>
      </w:pPr>
    </w:p>
    <w:p>
      <w:pPr>
        <w:ind w:left="500" w:right="560"/>
        <w:spacing w:after="0" w:line="385" w:lineRule="auto"/>
        <w:rPr>
          <w:sz w:val="20"/>
          <w:szCs w:val="20"/>
          <w:color w:val="auto"/>
        </w:rPr>
      </w:pPr>
      <w:r>
        <w:rPr>
          <w:rFonts w:ascii="Arial" w:cs="Arial" w:eastAsia="Arial" w:hAnsi="Arial"/>
          <w:sz w:val="15"/>
          <w:szCs w:val="15"/>
          <w:b w:val="1"/>
          <w:bCs w:val="1"/>
          <w:color w:val="auto"/>
        </w:rPr>
        <w:t>external research and development expenses, including lab materials and supplies and payments to CROs, investigative sites, and consultants to conduct our clinical trials and preclinical and non-clinical studies; and</w:t>
      </w:r>
    </w:p>
    <w:p>
      <w:pPr>
        <w:spacing w:after="0" w:line="161" w:lineRule="exact"/>
        <w:rPr>
          <w:sz w:val="20"/>
          <w:szCs w:val="20"/>
          <w:color w:val="auto"/>
        </w:rPr>
      </w:pPr>
    </w:p>
    <w:p>
      <w:pPr>
        <w:ind w:left="500" w:right="300"/>
        <w:spacing w:after="0" w:line="234" w:lineRule="auto"/>
        <w:rPr>
          <w:sz w:val="20"/>
          <w:szCs w:val="20"/>
          <w:color w:val="auto"/>
        </w:rPr>
      </w:pPr>
      <w:r>
        <w:rPr>
          <w:rFonts w:ascii="Arial" w:cs="Arial" w:eastAsia="Arial" w:hAnsi="Arial"/>
          <w:sz w:val="20"/>
          <w:szCs w:val="20"/>
          <w:b w:val="1"/>
          <w:bCs w:val="1"/>
          <w:color w:val="auto"/>
        </w:rPr>
        <w:t>facilities and other allocated expenses which include direct and allocated expenses for rent, insurance and other supplies.</w:t>
      </w:r>
    </w:p>
    <w:p>
      <w:pPr>
        <w:spacing w:after="0" w:line="273"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color w:val="auto"/>
        </w:rPr>
        <w:t>Our direct research and development expenses consist principally of external costs, such as fees paid to CROs and consultants in connection with our clinical and preclinical studies and costs related to manufacturing materials for our studies. Since our inception and through December 31, 2025, the majority of our third-party expenses were related to the research and development of trastuzumab imbotolimod, BDC-3042, BDC-4182 and other product candidates. With the exception of costs incurred to satisfy our performance obligations under our collaboration agreements, we do not allocate employee costs and costs associated with our discovery efforts, laboratory supplies, and facilities, including other indirect costs, to specific product candidates as these costs are associated with multiple programs and, as such, are not separately classified. We use internal resources primarily to conduct our research as well as for managing our preclinical development, process development, manufacturing, and clinical development activities. We deploy our personnel across all of our research and development activities and, as our employees work across multiple programs, we do not currently track our costs by product candidate.</w:t>
      </w:r>
    </w:p>
    <w:p>
      <w:pPr>
        <w:sectPr>
          <w:pgSz w:w="12240" w:h="15840" w:orient="portrait"/>
          <w:cols w:equalWidth="0" w:num="1">
            <w:col w:w="9700"/>
          </w:cols>
          <w:pgMar w:left="1260" w:top="1079" w:right="1280" w:bottom="181" w:gutter="0" w:footer="0" w:header="0"/>
        </w:sect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69</w:t>
      </w:r>
    </w:p>
    <w:p>
      <w:pPr>
        <w:sectPr>
          <w:pgSz w:w="12240" w:h="15840" w:orient="portrait"/>
          <w:cols w:equalWidth="0" w:num="1">
            <w:col w:w="9700"/>
          </w:cols>
          <w:pgMar w:left="1260" w:top="1079" w:right="1280" w:bottom="181" w:gutter="0" w:footer="0" w:header="0"/>
          <w:type w:val="continuous"/>
        </w:sectPr>
      </w:pPr>
    </w:p>
    <w:bookmarkStart w:id="109" w:name="page110"/>
    <w:bookmarkEnd w:id="109"/>
    <w:p>
      <w:pPr>
        <w:ind w:right="120"/>
        <w:spacing w:after="0" w:line="269" w:lineRule="auto"/>
        <w:rPr>
          <w:sz w:val="20"/>
          <w:szCs w:val="20"/>
          <w:color w:val="auto"/>
        </w:rPr>
      </w:pPr>
      <w:r>
        <w:rPr>
          <w:rFonts w:ascii="Arial" w:cs="Arial" w:eastAsia="Arial" w:hAnsi="Arial"/>
          <w:sz w:val="18"/>
          <w:szCs w:val="18"/>
          <w:b w:val="1"/>
          <w:bCs w:val="1"/>
          <w:color w:val="auto"/>
        </w:rPr>
        <w:t>We expect to continue to incur research and development expenses for the foreseeable future as we continue the development of our product candidates, particularly as product candidates in later stages of development generally have higher development costs. We cannot determine with certainty the timing of initiation, the duration or the completion costs of future clinical trials and preclinical studies of our product candidates due to the inherently unpredictable nature of clinical and preclinical development. Clinical and preclinical development timelines, and the probability of success and development costs can differ materially from expectations.</w:t>
      </w:r>
    </w:p>
    <w:p>
      <w:pPr>
        <w:spacing w:after="0" w:line="228" w:lineRule="exact"/>
        <w:rPr>
          <w:sz w:val="20"/>
          <w:szCs w:val="20"/>
          <w:color w:val="auto"/>
        </w:rPr>
      </w:pPr>
    </w:p>
    <w:p>
      <w:pPr>
        <w:spacing w:after="0" w:line="332" w:lineRule="auto"/>
        <w:rPr>
          <w:sz w:val="20"/>
          <w:szCs w:val="20"/>
          <w:color w:val="auto"/>
        </w:rPr>
      </w:pPr>
      <w:r>
        <w:rPr>
          <w:rFonts w:ascii="Arial" w:cs="Arial" w:eastAsia="Arial" w:hAnsi="Arial"/>
          <w:sz w:val="15"/>
          <w:szCs w:val="15"/>
          <w:b w:val="1"/>
          <w:bCs w:val="1"/>
          <w:color w:val="auto"/>
        </w:rPr>
        <w:t>We anticipate that we will make determinations as to which product candidates and development programs to pursue and how much funding to direct to each product candidate or program on an ongoing basis in response to the results of ongoing and future preclinical studies and clinical trials, regulatory developments, and our ongoing assessments of each product candidate’s commercial potential. We will need to raise substantial additional capital in the future.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future clinical development costs may vary significantly based on factors such as:</w:t>
      </w:r>
    </w:p>
    <w:p>
      <w:pPr>
        <w:spacing w:after="0" w:line="243" w:lineRule="exact"/>
        <w:rPr>
          <w:sz w:val="20"/>
          <w:szCs w:val="20"/>
          <w:color w:val="auto"/>
        </w:rPr>
      </w:pPr>
    </w:p>
    <w:p>
      <w:pPr>
        <w:ind w:left="500" w:right="4180"/>
        <w:spacing w:after="0" w:line="492" w:lineRule="auto"/>
        <w:rPr>
          <w:sz w:val="20"/>
          <w:szCs w:val="20"/>
          <w:color w:val="auto"/>
        </w:rPr>
      </w:pPr>
      <w:r>
        <w:rPr>
          <w:rFonts w:ascii="Arial" w:cs="Arial" w:eastAsia="Arial" w:hAnsi="Arial"/>
          <w:sz w:val="20"/>
          <w:szCs w:val="20"/>
          <w:b w:val="1"/>
          <w:bCs w:val="1"/>
          <w:color w:val="auto"/>
        </w:rPr>
        <w:t>the number and scope of preclinical and IND-enabling studies; per-patient trial costs;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the number of trials required for approval;</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the number of sites included in the trials;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the countries in which the trials are conducted;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the length of time required to enroll eligible patients;</w:t>
      </w:r>
    </w:p>
    <w:p>
      <w:pPr>
        <w:spacing w:after="0" w:line="265" w:lineRule="exact"/>
        <w:rPr>
          <w:sz w:val="20"/>
          <w:szCs w:val="20"/>
          <w:color w:val="auto"/>
        </w:rPr>
      </w:pPr>
    </w:p>
    <w:p>
      <w:pPr>
        <w:ind w:left="500" w:right="5120"/>
        <w:spacing w:after="0" w:line="593" w:lineRule="auto"/>
        <w:rPr>
          <w:sz w:val="20"/>
          <w:szCs w:val="20"/>
          <w:color w:val="auto"/>
        </w:rPr>
      </w:pPr>
      <w:r>
        <w:rPr>
          <w:rFonts w:ascii="Arial" w:cs="Arial" w:eastAsia="Arial" w:hAnsi="Arial"/>
          <w:sz w:val="17"/>
          <w:szCs w:val="17"/>
          <w:b w:val="1"/>
          <w:bCs w:val="1"/>
          <w:color w:val="auto"/>
        </w:rPr>
        <w:t>the number of patients who participate in the trials; the number of doses that patients receive;</w:t>
      </w:r>
    </w:p>
    <w:p>
      <w:pPr>
        <w:ind w:left="120"/>
        <w:spacing w:after="0"/>
        <w:rPr>
          <w:sz w:val="20"/>
          <w:szCs w:val="20"/>
          <w:color w:val="auto"/>
        </w:rPr>
      </w:pPr>
      <w:r>
        <w:rPr>
          <w:rFonts w:ascii="Arial" w:cs="Arial" w:eastAsia="Arial" w:hAnsi="Arial"/>
          <w:sz w:val="20"/>
          <w:szCs w:val="20"/>
          <w:b w:val="1"/>
          <w:bCs w:val="1"/>
          <w:color w:val="auto"/>
        </w:rPr>
        <w:t>the drop-out or discontinuation rates of patients;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potential additional safety monitoring requested by regulatory agencies;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the duration of patient participation in the trials and through all follow-up;</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the cost and timing of manufacturing our product candidates;</w:t>
      </w:r>
    </w:p>
    <w:p>
      <w:pPr>
        <w:spacing w:after="0" w:line="265" w:lineRule="exact"/>
        <w:rPr>
          <w:sz w:val="20"/>
          <w:szCs w:val="20"/>
          <w:color w:val="auto"/>
        </w:rPr>
      </w:pPr>
    </w:p>
    <w:p>
      <w:pPr>
        <w:jc w:val="both"/>
        <w:ind w:left="500" w:right="4680"/>
        <w:spacing w:after="0" w:line="678" w:lineRule="auto"/>
        <w:rPr>
          <w:sz w:val="20"/>
          <w:szCs w:val="20"/>
          <w:color w:val="auto"/>
        </w:rPr>
      </w:pPr>
      <w:r>
        <w:rPr>
          <w:rFonts w:ascii="Arial" w:cs="Arial" w:eastAsia="Arial" w:hAnsi="Arial"/>
          <w:sz w:val="15"/>
          <w:szCs w:val="15"/>
          <w:b w:val="1"/>
          <w:bCs w:val="1"/>
          <w:color w:val="auto"/>
        </w:rPr>
        <w:t>the phase of development of our product candidates; and the safety and efficacy profile of our product candidates.</w:t>
      </w:r>
    </w:p>
    <w:p>
      <w:pPr>
        <w:spacing w:after="0" w:line="230" w:lineRule="auto"/>
        <w:rPr>
          <w:sz w:val="20"/>
          <w:szCs w:val="20"/>
          <w:color w:val="auto"/>
        </w:rPr>
      </w:pPr>
      <w:r>
        <w:rPr>
          <w:rFonts w:ascii="Arial" w:cs="Arial" w:eastAsia="Arial" w:hAnsi="Arial"/>
          <w:sz w:val="20"/>
          <w:szCs w:val="20"/>
          <w:b w:val="1"/>
          <w:bCs w:val="1"/>
          <w:color w:val="auto"/>
        </w:rPr>
        <w:t>General and Administrative</w:t>
      </w:r>
    </w:p>
    <w:p>
      <w:pPr>
        <w:spacing w:after="0" w:line="251" w:lineRule="exact"/>
        <w:rPr>
          <w:sz w:val="20"/>
          <w:szCs w:val="20"/>
          <w:color w:val="auto"/>
        </w:rPr>
      </w:pPr>
    </w:p>
    <w:p>
      <w:pPr>
        <w:spacing w:after="0" w:line="237" w:lineRule="auto"/>
        <w:rPr>
          <w:sz w:val="20"/>
          <w:szCs w:val="20"/>
          <w:color w:val="auto"/>
        </w:rPr>
      </w:pPr>
      <w:r>
        <w:rPr>
          <w:rFonts w:ascii="Arial" w:cs="Arial" w:eastAsia="Arial" w:hAnsi="Arial"/>
          <w:sz w:val="20"/>
          <w:szCs w:val="20"/>
          <w:b w:val="1"/>
          <w:bCs w:val="1"/>
          <w:color w:val="auto"/>
        </w:rPr>
        <w:t>General and administrative expenses consist primarily of salaries and employee-related costs, including stock-based compensation, for personnel in executive, finance, and other administrative functions. Other significant costs include legal fees relating to intellectual property and corporate matters, professional fees for accounting and consulting services, and facility-related costs.</w:t>
      </w:r>
    </w:p>
    <w:p>
      <w:pPr>
        <w:spacing w:after="0" w:line="251"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b w:val="1"/>
          <w:bCs w:val="1"/>
          <w:color w:val="auto"/>
        </w:rPr>
        <w:t>We expect to continue to incur general and administrative expenses for the foreseeable future to support our ongoing research and development activities and the costs of operating as a public company. These costs will likely include expenses related to audit, legal, regulatory, and tax-related services associated with maintaining compliance with Nasdaq and SEC requirements, director and officer insurance premiums and investor relations costs associated with operating as a public company.</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70</w:t>
      </w:r>
    </w:p>
    <w:p>
      <w:pPr>
        <w:sectPr>
          <w:pgSz w:w="12240" w:h="15840" w:orient="portrait"/>
          <w:cols w:equalWidth="0" w:num="1">
            <w:col w:w="9700"/>
          </w:cols>
          <w:pgMar w:left="1260" w:top="1089" w:right="1280" w:bottom="181" w:gutter="0" w:footer="0" w:header="0"/>
          <w:type w:val="continuous"/>
        </w:sectPr>
      </w:pPr>
    </w:p>
    <w:bookmarkStart w:id="110" w:name="page111"/>
    <w:bookmarkEnd w:id="110"/>
    <w:p>
      <w:pPr>
        <w:spacing w:after="0"/>
        <w:rPr>
          <w:sz w:val="20"/>
          <w:szCs w:val="20"/>
          <w:color w:val="auto"/>
        </w:rPr>
      </w:pPr>
      <w:r>
        <w:rPr>
          <w:rFonts w:ascii="Arial" w:cs="Arial" w:eastAsia="Arial" w:hAnsi="Arial"/>
          <w:sz w:val="20"/>
          <w:szCs w:val="20"/>
          <w:b w:val="1"/>
          <w:bCs w:val="1"/>
          <w:color w:val="auto"/>
        </w:rPr>
        <w:t>Restructuring Charges</w:t>
      </w:r>
    </w:p>
    <w:p>
      <w:pPr>
        <w:spacing w:after="0" w:line="251" w:lineRule="exact"/>
        <w:rPr>
          <w:sz w:val="20"/>
          <w:szCs w:val="20"/>
          <w:color w:val="auto"/>
        </w:rPr>
      </w:pPr>
    </w:p>
    <w:p>
      <w:pPr>
        <w:ind w:right="220"/>
        <w:spacing w:after="0" w:line="233" w:lineRule="auto"/>
        <w:rPr>
          <w:sz w:val="20"/>
          <w:szCs w:val="20"/>
          <w:color w:val="auto"/>
        </w:rPr>
      </w:pPr>
      <w:r>
        <w:rPr>
          <w:rFonts w:ascii="Arial" w:cs="Arial" w:eastAsia="Arial" w:hAnsi="Arial"/>
          <w:sz w:val="20"/>
          <w:szCs w:val="20"/>
          <w:b w:val="1"/>
          <w:bCs w:val="1"/>
          <w:color w:val="auto"/>
        </w:rPr>
        <w:t>Restructuring charges consist of one-time termination benefits such as severance costs and related benefits and stock-based compensation charges associated with a reduction-in-force.</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Impairment Charges</w:t>
      </w:r>
    </w:p>
    <w:p>
      <w:pPr>
        <w:spacing w:after="0" w:line="251"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b w:val="1"/>
          <w:bCs w:val="1"/>
          <w:color w:val="auto"/>
        </w:rPr>
        <w:t>Impairment charges consist of one-time impairment loss associated with an impairment evaluation to assess the impact on the carrying value of our long-lived assets.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Net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Income, Net</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income consists of interest income from our marketable securities investments.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w:t>
      </w:r>
    </w:p>
    <w:p>
      <w:pPr>
        <w:spacing w:after="0" w:line="251"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color w:val="auto"/>
        </w:rPr>
        <w:t>Other income in 2025 consists of income earned from miscellaneous activities not core to our business. Other income in 2024 consists of the one-time payment received from Innovent under our collaboration agreement.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Years Ended December 31, 2025 and 2024</w:t>
      </w:r>
    </w:p>
    <w:p>
      <w:pPr>
        <w:spacing w:after="0" w:line="200" w:lineRule="exact"/>
        <w:rPr>
          <w:sz w:val="20"/>
          <w:szCs w:val="20"/>
          <w:color w:val="auto"/>
        </w:rPr>
      </w:pPr>
    </w:p>
    <w:p>
      <w:pPr>
        <w:spacing w:after="0" w:line="330"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center"/>
              <w:ind w:right="142"/>
              <w:spacing w:after="0"/>
              <w:rPr>
                <w:sz w:val="20"/>
                <w:szCs w:val="20"/>
                <w:color w:val="auto"/>
              </w:rPr>
            </w:pPr>
            <w:r>
              <w:rPr>
                <w:rFonts w:ascii="Arial" w:cs="Arial" w:eastAsia="Arial" w:hAnsi="Arial"/>
                <w:sz w:val="16"/>
                <w:szCs w:val="16"/>
                <w:b w:val="1"/>
                <w:bCs w:val="1"/>
                <w:color w:val="auto"/>
                <w:w w:val="90"/>
              </w:rPr>
              <w:t>Years Ended December 31,</w:t>
            </w:r>
          </w:p>
        </w:tc>
        <w:tc>
          <w:tcPr>
            <w:tcW w:w="60" w:type="dxa"/>
            <w:vAlign w:val="bottom"/>
          </w:tcPr>
          <w:p>
            <w:pPr>
              <w:spacing w:after="0"/>
              <w:rPr>
                <w:sz w:val="16"/>
                <w:szCs w:val="16"/>
                <w:color w:val="auto"/>
              </w:rPr>
            </w:pPr>
          </w:p>
        </w:tc>
      </w:tr>
      <w:tr>
        <w:trPr>
          <w:trHeight w:val="193"/>
        </w:trPr>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323"/>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center"/>
              <w:ind w:right="202"/>
              <w:spacing w:after="0"/>
              <w:rPr>
                <w:sz w:val="20"/>
                <w:szCs w:val="20"/>
                <w:color w:val="auto"/>
              </w:rPr>
            </w:pPr>
            <w:r>
              <w:rPr>
                <w:rFonts w:ascii="Arial" w:cs="Arial" w:eastAsia="Arial" w:hAnsi="Arial"/>
                <w:sz w:val="16"/>
                <w:szCs w:val="16"/>
                <w:b w:val="1"/>
                <w:bCs w:val="1"/>
                <w:color w:val="auto"/>
                <w:w w:val="89"/>
              </w:rPr>
              <w:t>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5"/>
              </w:rPr>
              <w:t>Change</w:t>
            </w:r>
          </w:p>
        </w:tc>
      </w:tr>
      <w:tr>
        <w:trPr>
          <w:trHeight w:val="193"/>
        </w:trPr>
        <w:tc>
          <w:tcPr>
            <w:tcW w:w="44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43"/>
        </w:trPr>
        <w:tc>
          <w:tcPr>
            <w:tcW w:w="4420" w:type="dxa"/>
            <w:vAlign w:val="bottom"/>
          </w:tcPr>
          <w:p>
            <w:pPr>
              <w:spacing w:after="0"/>
              <w:rPr>
                <w:sz w:val="20"/>
                <w:szCs w:val="20"/>
                <w:color w:val="auto"/>
              </w:rPr>
            </w:pPr>
            <w:r>
              <w:rPr>
                <w:rFonts w:ascii="Arial" w:cs="Arial" w:eastAsia="Arial" w:hAnsi="Arial"/>
                <w:sz w:val="20"/>
                <w:szCs w:val="20"/>
                <w:b w:val="1"/>
                <w:bCs w:val="1"/>
                <w:color w:val="auto"/>
              </w:rPr>
              <w:t>Collaboration revenue</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20"/>
                <w:szCs w:val="20"/>
                <w:b w:val="1"/>
                <w:bCs w:val="1"/>
                <w:color w:val="auto"/>
              </w:rPr>
              <w:t>7,695</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7,690</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5</w:t>
            </w:r>
          </w:p>
        </w:tc>
        <w:tc>
          <w:tcPr>
            <w:tcW w:w="60" w:type="dxa"/>
            <w:vAlign w:val="bottom"/>
          </w:tcPr>
          <w:p>
            <w:pPr>
              <w:spacing w:after="0"/>
              <w:rPr>
                <w:sz w:val="21"/>
                <w:szCs w:val="21"/>
                <w:color w:val="auto"/>
              </w:rPr>
            </w:pPr>
          </w:p>
        </w:tc>
      </w:tr>
      <w:tr>
        <w:trPr>
          <w:trHeight w:val="245"/>
        </w:trPr>
        <w:tc>
          <w:tcPr>
            <w:tcW w:w="4420" w:type="dxa"/>
            <w:vAlign w:val="bottom"/>
          </w:tcPr>
          <w:p>
            <w:pPr>
              <w:spacing w:after="0"/>
              <w:rPr>
                <w:sz w:val="20"/>
                <w:szCs w:val="20"/>
                <w:color w:val="auto"/>
              </w:rPr>
            </w:pPr>
            <w:r>
              <w:rPr>
                <w:rFonts w:ascii="Arial" w:cs="Arial" w:eastAsia="Arial" w:hAnsi="Arial"/>
                <w:sz w:val="20"/>
                <w:szCs w:val="20"/>
                <w:b w:val="1"/>
                <w:bCs w:val="1"/>
                <w:color w:val="auto"/>
              </w:rPr>
              <w:t>Operating expenses:</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5"/>
        </w:trPr>
        <w:tc>
          <w:tcPr>
            <w:tcW w:w="4420" w:type="dxa"/>
            <w:vAlign w:val="bottom"/>
          </w:tcPr>
          <w:p>
            <w:pPr>
              <w:ind w:left="200"/>
              <w:spacing w:after="0"/>
              <w:rPr>
                <w:sz w:val="20"/>
                <w:szCs w:val="20"/>
                <w:color w:val="auto"/>
              </w:rPr>
            </w:pPr>
            <w:r>
              <w:rPr>
                <w:rFonts w:ascii="Arial" w:cs="Arial" w:eastAsia="Arial" w:hAnsi="Arial"/>
                <w:sz w:val="20"/>
                <w:szCs w:val="20"/>
                <w:b w:val="1"/>
                <w:bCs w:val="1"/>
                <w:color w:val="auto"/>
              </w:rPr>
              <w:t>Research and development</w:t>
            </w:r>
          </w:p>
        </w:tc>
        <w:tc>
          <w:tcPr>
            <w:tcW w:w="200" w:type="dxa"/>
            <w:vAlign w:val="bottom"/>
          </w:tcPr>
          <w:p>
            <w:pPr>
              <w:spacing w:after="0"/>
              <w:rPr>
                <w:sz w:val="21"/>
                <w:szCs w:val="21"/>
                <w:color w:val="auto"/>
              </w:rPr>
            </w:pPr>
          </w:p>
        </w:tc>
        <w:tc>
          <w:tcPr>
            <w:tcW w:w="840" w:type="dxa"/>
            <w:vAlign w:val="bottom"/>
          </w:tcPr>
          <w:p>
            <w:pPr>
              <w:jc w:val="right"/>
              <w:ind w:right="3"/>
              <w:spacing w:after="0"/>
              <w:rPr>
                <w:sz w:val="20"/>
                <w:szCs w:val="20"/>
                <w:color w:val="auto"/>
              </w:rPr>
            </w:pPr>
            <w:r>
              <w:rPr>
                <w:rFonts w:ascii="Arial" w:cs="Arial" w:eastAsia="Arial" w:hAnsi="Arial"/>
                <w:sz w:val="20"/>
                <w:szCs w:val="20"/>
                <w:b w:val="1"/>
                <w:bCs w:val="1"/>
                <w:color w:val="auto"/>
              </w:rPr>
              <w:t>28,533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57,469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(28,936)</w:t>
            </w:r>
          </w:p>
        </w:tc>
      </w:tr>
      <w:tr>
        <w:trPr>
          <w:trHeight w:val="242"/>
        </w:trPr>
        <w:tc>
          <w:tcPr>
            <w:tcW w:w="4420" w:type="dxa"/>
            <w:vAlign w:val="bottom"/>
          </w:tcPr>
          <w:p>
            <w:pPr>
              <w:ind w:left="200"/>
              <w:spacing w:after="0"/>
              <w:rPr>
                <w:sz w:val="20"/>
                <w:szCs w:val="20"/>
                <w:color w:val="auto"/>
              </w:rPr>
            </w:pPr>
            <w:r>
              <w:rPr>
                <w:rFonts w:ascii="Arial" w:cs="Arial" w:eastAsia="Arial" w:hAnsi="Arial"/>
                <w:sz w:val="20"/>
                <w:szCs w:val="20"/>
                <w:b w:val="1"/>
                <w:bCs w:val="1"/>
                <w:color w:val="auto"/>
              </w:rPr>
              <w:t>General and administrative</w:t>
            </w:r>
          </w:p>
        </w:tc>
        <w:tc>
          <w:tcPr>
            <w:tcW w:w="200" w:type="dxa"/>
            <w:vAlign w:val="bottom"/>
          </w:tcPr>
          <w:p>
            <w:pPr>
              <w:spacing w:after="0"/>
              <w:rPr>
                <w:sz w:val="21"/>
                <w:szCs w:val="21"/>
                <w:color w:val="auto"/>
              </w:rPr>
            </w:pPr>
          </w:p>
        </w:tc>
        <w:tc>
          <w:tcPr>
            <w:tcW w:w="840" w:type="dxa"/>
            <w:vAlign w:val="bottom"/>
          </w:tcPr>
          <w:p>
            <w:pPr>
              <w:jc w:val="right"/>
              <w:ind w:right="3"/>
              <w:spacing w:after="0"/>
              <w:rPr>
                <w:sz w:val="20"/>
                <w:szCs w:val="20"/>
                <w:color w:val="auto"/>
              </w:rPr>
            </w:pPr>
            <w:r>
              <w:rPr>
                <w:rFonts w:ascii="Arial" w:cs="Arial" w:eastAsia="Arial" w:hAnsi="Arial"/>
                <w:sz w:val="20"/>
                <w:szCs w:val="20"/>
                <w:b w:val="1"/>
                <w:bCs w:val="1"/>
                <w:color w:val="auto"/>
              </w:rPr>
              <w:t>13,795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18,457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(4,662)</w:t>
            </w:r>
          </w:p>
        </w:tc>
      </w:tr>
      <w:tr>
        <w:trPr>
          <w:trHeight w:val="245"/>
        </w:trPr>
        <w:tc>
          <w:tcPr>
            <w:tcW w:w="4420" w:type="dxa"/>
            <w:vAlign w:val="bottom"/>
          </w:tcPr>
          <w:p>
            <w:pPr>
              <w:ind w:left="200"/>
              <w:spacing w:after="0"/>
              <w:rPr>
                <w:sz w:val="20"/>
                <w:szCs w:val="20"/>
                <w:color w:val="auto"/>
              </w:rPr>
            </w:pPr>
            <w:r>
              <w:rPr>
                <w:rFonts w:ascii="Arial" w:cs="Arial" w:eastAsia="Arial" w:hAnsi="Arial"/>
                <w:sz w:val="20"/>
                <w:szCs w:val="20"/>
                <w:b w:val="1"/>
                <w:bCs w:val="1"/>
                <w:color w:val="auto"/>
              </w:rPr>
              <w:t>Restructuring charges</w:t>
            </w:r>
          </w:p>
        </w:tc>
        <w:tc>
          <w:tcPr>
            <w:tcW w:w="200" w:type="dxa"/>
            <w:vAlign w:val="bottom"/>
          </w:tcPr>
          <w:p>
            <w:pPr>
              <w:spacing w:after="0"/>
              <w:rPr>
                <w:sz w:val="21"/>
                <w:szCs w:val="21"/>
                <w:color w:val="auto"/>
              </w:rPr>
            </w:pPr>
          </w:p>
        </w:tc>
        <w:tc>
          <w:tcPr>
            <w:tcW w:w="840" w:type="dxa"/>
            <w:vAlign w:val="bottom"/>
          </w:tcPr>
          <w:p>
            <w:pPr>
              <w:jc w:val="right"/>
              <w:ind w:right="3"/>
              <w:spacing w:after="0"/>
              <w:rPr>
                <w:sz w:val="20"/>
                <w:szCs w:val="20"/>
                <w:color w:val="auto"/>
              </w:rPr>
            </w:pPr>
            <w:r>
              <w:rPr>
                <w:rFonts w:ascii="Arial" w:cs="Arial" w:eastAsia="Arial" w:hAnsi="Arial"/>
                <w:sz w:val="20"/>
                <w:szCs w:val="20"/>
                <w:b w:val="1"/>
                <w:bCs w:val="1"/>
                <w:color w:val="auto"/>
              </w:rPr>
              <w:t>1,480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3,343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(1,863)</w:t>
            </w:r>
          </w:p>
        </w:tc>
      </w:tr>
      <w:tr>
        <w:trPr>
          <w:trHeight w:val="245"/>
        </w:trPr>
        <w:tc>
          <w:tcPr>
            <w:tcW w:w="4420" w:type="dxa"/>
            <w:vAlign w:val="bottom"/>
          </w:tcPr>
          <w:p>
            <w:pPr>
              <w:ind w:left="200"/>
              <w:spacing w:after="0"/>
              <w:rPr>
                <w:sz w:val="20"/>
                <w:szCs w:val="20"/>
                <w:color w:val="auto"/>
              </w:rPr>
            </w:pPr>
            <w:r>
              <w:rPr>
                <w:rFonts w:ascii="Arial" w:cs="Arial" w:eastAsia="Arial" w:hAnsi="Arial"/>
                <w:sz w:val="20"/>
                <w:szCs w:val="20"/>
                <w:b w:val="1"/>
                <w:bCs w:val="1"/>
                <w:color w:val="auto"/>
              </w:rPr>
              <w:t>Impairment charges</w:t>
            </w:r>
          </w:p>
        </w:tc>
        <w:tc>
          <w:tcPr>
            <w:tcW w:w="200" w:type="dxa"/>
            <w:vAlign w:val="bottom"/>
          </w:tcPr>
          <w:p>
            <w:pPr>
              <w:spacing w:after="0"/>
              <w:rPr>
                <w:sz w:val="21"/>
                <w:szCs w:val="21"/>
                <w:color w:val="auto"/>
              </w:rPr>
            </w:pPr>
          </w:p>
        </w:tc>
        <w:tc>
          <w:tcPr>
            <w:tcW w:w="840" w:type="dxa"/>
            <w:vAlign w:val="bottom"/>
          </w:tcPr>
          <w:p>
            <w:pPr>
              <w:jc w:val="right"/>
              <w:ind w:right="3"/>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1,469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(1,469)</w:t>
            </w:r>
          </w:p>
        </w:tc>
      </w:tr>
      <w:tr>
        <w:trPr>
          <w:trHeight w:val="20"/>
        </w:trPr>
        <w:tc>
          <w:tcPr>
            <w:tcW w:w="4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9"/>
        </w:trPr>
        <w:tc>
          <w:tcPr>
            <w:tcW w:w="4420" w:type="dxa"/>
            <w:vAlign w:val="bottom"/>
          </w:tcPr>
          <w:p>
            <w:pPr>
              <w:ind w:left="400"/>
              <w:spacing w:after="0"/>
              <w:rPr>
                <w:sz w:val="20"/>
                <w:szCs w:val="20"/>
                <w:color w:val="auto"/>
              </w:rPr>
            </w:pPr>
            <w:r>
              <w:rPr>
                <w:rFonts w:ascii="Arial" w:cs="Arial" w:eastAsia="Arial" w:hAnsi="Arial"/>
                <w:sz w:val="20"/>
                <w:szCs w:val="20"/>
                <w:b w:val="1"/>
                <w:bCs w:val="1"/>
                <w:color w:val="auto"/>
              </w:rPr>
              <w:t>Total operating expenses</w:t>
            </w:r>
          </w:p>
        </w:tc>
        <w:tc>
          <w:tcPr>
            <w:tcW w:w="200" w:type="dxa"/>
            <w:vAlign w:val="bottom"/>
          </w:tcPr>
          <w:p>
            <w:pPr>
              <w:spacing w:after="0"/>
              <w:rPr>
                <w:sz w:val="20"/>
                <w:szCs w:val="20"/>
                <w:color w:val="auto"/>
              </w:rPr>
            </w:pPr>
          </w:p>
        </w:tc>
        <w:tc>
          <w:tcPr>
            <w:tcW w:w="840" w:type="dxa"/>
            <w:vAlign w:val="bottom"/>
          </w:tcPr>
          <w:p>
            <w:pPr>
              <w:jc w:val="right"/>
              <w:ind w:right="3"/>
              <w:spacing w:after="0"/>
              <w:rPr>
                <w:sz w:val="20"/>
                <w:szCs w:val="20"/>
                <w:color w:val="auto"/>
              </w:rPr>
            </w:pPr>
            <w:r>
              <w:rPr>
                <w:rFonts w:ascii="Arial" w:cs="Arial" w:eastAsia="Arial" w:hAnsi="Arial"/>
                <w:sz w:val="20"/>
                <w:szCs w:val="20"/>
                <w:b w:val="1"/>
                <w:bCs w:val="1"/>
                <w:color w:val="auto"/>
              </w:rPr>
              <w:t>43,808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80,738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(36,930)</w:t>
            </w:r>
          </w:p>
        </w:tc>
      </w:tr>
      <w:tr>
        <w:trPr>
          <w:trHeight w:val="236"/>
        </w:trPr>
        <w:tc>
          <w:tcPr>
            <w:tcW w:w="4420" w:type="dxa"/>
            <w:vAlign w:val="bottom"/>
          </w:tcPr>
          <w:p>
            <w:pPr>
              <w:spacing w:after="0"/>
              <w:rPr>
                <w:sz w:val="20"/>
                <w:szCs w:val="20"/>
                <w:color w:val="auto"/>
              </w:rPr>
            </w:pPr>
            <w:r>
              <w:rPr>
                <w:rFonts w:ascii="Arial" w:cs="Arial" w:eastAsia="Arial" w:hAnsi="Arial"/>
                <w:sz w:val="20"/>
                <w:szCs w:val="20"/>
                <w:b w:val="1"/>
                <w:bCs w:val="1"/>
                <w:color w:val="auto"/>
              </w:rPr>
              <w:t>Loss from operations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(36,113)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(73,048)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36,935</w:t>
            </w:r>
          </w:p>
        </w:tc>
        <w:tc>
          <w:tcPr>
            <w:tcW w:w="60" w:type="dxa"/>
            <w:vAlign w:val="bottom"/>
          </w:tcPr>
          <w:p>
            <w:pPr>
              <w:spacing w:after="0"/>
              <w:rPr>
                <w:sz w:val="20"/>
                <w:szCs w:val="20"/>
                <w:color w:val="auto"/>
              </w:rPr>
            </w:pPr>
          </w:p>
        </w:tc>
      </w:tr>
      <w:tr>
        <w:trPr>
          <w:trHeight w:val="245"/>
        </w:trPr>
        <w:tc>
          <w:tcPr>
            <w:tcW w:w="4420" w:type="dxa"/>
            <w:vAlign w:val="bottom"/>
          </w:tcPr>
          <w:p>
            <w:pPr>
              <w:spacing w:after="0"/>
              <w:rPr>
                <w:sz w:val="20"/>
                <w:szCs w:val="20"/>
                <w:color w:val="auto"/>
              </w:rPr>
            </w:pPr>
            <w:r>
              <w:rPr>
                <w:rFonts w:ascii="Arial" w:cs="Arial" w:eastAsia="Arial" w:hAnsi="Arial"/>
                <w:sz w:val="20"/>
                <w:szCs w:val="20"/>
                <w:b w:val="1"/>
                <w:bCs w:val="1"/>
                <w:color w:val="auto"/>
              </w:rPr>
              <w:t>Other income (expense), net:</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5"/>
        </w:trPr>
        <w:tc>
          <w:tcPr>
            <w:tcW w:w="4420" w:type="dxa"/>
            <w:vAlign w:val="bottom"/>
          </w:tcPr>
          <w:p>
            <w:pPr>
              <w:ind w:left="200"/>
              <w:spacing w:after="0"/>
              <w:rPr>
                <w:sz w:val="20"/>
                <w:szCs w:val="20"/>
                <w:color w:val="auto"/>
              </w:rPr>
            </w:pPr>
            <w:r>
              <w:rPr>
                <w:rFonts w:ascii="Arial" w:cs="Arial" w:eastAsia="Arial" w:hAnsi="Arial"/>
                <w:sz w:val="20"/>
                <w:szCs w:val="20"/>
                <w:b w:val="1"/>
                <w:bCs w:val="1"/>
                <w:color w:val="auto"/>
              </w:rPr>
              <w:t>Interest income, net</w:t>
            </w:r>
          </w:p>
        </w:tc>
        <w:tc>
          <w:tcPr>
            <w:tcW w:w="200" w:type="dxa"/>
            <w:vAlign w:val="bottom"/>
          </w:tcPr>
          <w:p>
            <w:pPr>
              <w:spacing w:after="0"/>
              <w:rPr>
                <w:sz w:val="21"/>
                <w:szCs w:val="21"/>
                <w:color w:val="auto"/>
              </w:rPr>
            </w:pPr>
          </w:p>
        </w:tc>
        <w:tc>
          <w:tcPr>
            <w:tcW w:w="840" w:type="dxa"/>
            <w:vAlign w:val="bottom"/>
          </w:tcPr>
          <w:p>
            <w:pPr>
              <w:jc w:val="right"/>
              <w:ind w:right="3"/>
              <w:spacing w:after="0"/>
              <w:rPr>
                <w:sz w:val="20"/>
                <w:szCs w:val="20"/>
                <w:color w:val="auto"/>
              </w:rPr>
            </w:pPr>
            <w:r>
              <w:rPr>
                <w:rFonts w:ascii="Arial" w:cs="Arial" w:eastAsia="Arial" w:hAnsi="Arial"/>
                <w:sz w:val="20"/>
                <w:szCs w:val="20"/>
                <w:b w:val="1"/>
                <w:bCs w:val="1"/>
                <w:color w:val="auto"/>
              </w:rPr>
              <w:t>2,496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5,255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(2,759)</w:t>
            </w:r>
          </w:p>
        </w:tc>
      </w:tr>
      <w:tr>
        <w:trPr>
          <w:trHeight w:val="243"/>
        </w:trPr>
        <w:tc>
          <w:tcPr>
            <w:tcW w:w="4420" w:type="dxa"/>
            <w:vAlign w:val="bottom"/>
          </w:tcPr>
          <w:p>
            <w:pPr>
              <w:ind w:left="200"/>
              <w:spacing w:after="0"/>
              <w:rPr>
                <w:sz w:val="20"/>
                <w:szCs w:val="20"/>
                <w:color w:val="auto"/>
              </w:rPr>
            </w:pPr>
            <w:r>
              <w:rPr>
                <w:rFonts w:ascii="Arial" w:cs="Arial" w:eastAsia="Arial" w:hAnsi="Arial"/>
                <w:sz w:val="20"/>
                <w:szCs w:val="20"/>
                <w:b w:val="1"/>
                <w:bCs w:val="1"/>
                <w:color w:val="auto"/>
              </w:rPr>
              <w:t>Other income (expense), net</w:t>
            </w:r>
          </w:p>
        </w:tc>
        <w:tc>
          <w:tcPr>
            <w:tcW w:w="200" w:type="dxa"/>
            <w:vAlign w:val="bottom"/>
          </w:tcPr>
          <w:p>
            <w:pPr>
              <w:spacing w:after="0"/>
              <w:rPr>
                <w:sz w:val="21"/>
                <w:szCs w:val="21"/>
                <w:color w:val="auto"/>
              </w:rPr>
            </w:pPr>
          </w:p>
        </w:tc>
        <w:tc>
          <w:tcPr>
            <w:tcW w:w="840" w:type="dxa"/>
            <w:vAlign w:val="bottom"/>
          </w:tcPr>
          <w:p>
            <w:pPr>
              <w:jc w:val="right"/>
              <w:ind w:right="3"/>
              <w:spacing w:after="0"/>
              <w:rPr>
                <w:sz w:val="20"/>
                <w:szCs w:val="20"/>
                <w:color w:val="auto"/>
              </w:rPr>
            </w:pPr>
            <w:r>
              <w:rPr>
                <w:rFonts w:ascii="Arial" w:cs="Arial" w:eastAsia="Arial" w:hAnsi="Arial"/>
                <w:sz w:val="20"/>
                <w:szCs w:val="20"/>
                <w:b w:val="1"/>
                <w:bCs w:val="1"/>
                <w:color w:val="auto"/>
              </w:rPr>
              <w:t>241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4,675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(4,434)</w:t>
            </w:r>
          </w:p>
        </w:tc>
      </w:tr>
      <w:tr>
        <w:trPr>
          <w:trHeight w:val="20"/>
        </w:trPr>
        <w:tc>
          <w:tcPr>
            <w:tcW w:w="4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9"/>
        </w:trPr>
        <w:tc>
          <w:tcPr>
            <w:tcW w:w="4420" w:type="dxa"/>
            <w:vAlign w:val="bottom"/>
          </w:tcPr>
          <w:p>
            <w:pPr>
              <w:spacing w:after="0"/>
              <w:rPr>
                <w:sz w:val="20"/>
                <w:szCs w:val="20"/>
                <w:color w:val="auto"/>
              </w:rPr>
            </w:pPr>
            <w:r>
              <w:rPr>
                <w:rFonts w:ascii="Arial" w:cs="Arial" w:eastAsia="Arial" w:hAnsi="Arial"/>
                <w:sz w:val="20"/>
                <w:szCs w:val="20"/>
                <w:b w:val="1"/>
                <w:bCs w:val="1"/>
                <w:color w:val="auto"/>
              </w:rPr>
              <w:t>Total other income (expense), net</w:t>
            </w:r>
          </w:p>
        </w:tc>
        <w:tc>
          <w:tcPr>
            <w:tcW w:w="200" w:type="dxa"/>
            <w:vAlign w:val="bottom"/>
          </w:tcPr>
          <w:p>
            <w:pPr>
              <w:spacing w:after="0"/>
              <w:rPr>
                <w:sz w:val="20"/>
                <w:szCs w:val="20"/>
                <w:color w:val="auto"/>
              </w:rPr>
            </w:pPr>
          </w:p>
        </w:tc>
        <w:tc>
          <w:tcPr>
            <w:tcW w:w="840" w:type="dxa"/>
            <w:vAlign w:val="bottom"/>
          </w:tcPr>
          <w:p>
            <w:pPr>
              <w:jc w:val="right"/>
              <w:ind w:right="3"/>
              <w:spacing w:after="0"/>
              <w:rPr>
                <w:sz w:val="20"/>
                <w:szCs w:val="20"/>
                <w:color w:val="auto"/>
              </w:rPr>
            </w:pPr>
            <w:r>
              <w:rPr>
                <w:rFonts w:ascii="Arial" w:cs="Arial" w:eastAsia="Arial" w:hAnsi="Arial"/>
                <w:sz w:val="20"/>
                <w:szCs w:val="20"/>
                <w:b w:val="1"/>
                <w:bCs w:val="1"/>
                <w:color w:val="auto"/>
              </w:rPr>
              <w:t>2,737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9,930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(7,193)</w:t>
            </w:r>
          </w:p>
        </w:tc>
      </w:tr>
      <w:tr>
        <w:trPr>
          <w:trHeight w:val="239"/>
        </w:trPr>
        <w:tc>
          <w:tcPr>
            <w:tcW w:w="4420" w:type="dxa"/>
            <w:vAlign w:val="bottom"/>
          </w:tcPr>
          <w:p>
            <w:pPr>
              <w:spacing w:after="0"/>
              <w:rPr>
                <w:sz w:val="20"/>
                <w:szCs w:val="20"/>
                <w:color w:val="auto"/>
              </w:rPr>
            </w:pPr>
            <w:r>
              <w:rPr>
                <w:rFonts w:ascii="Arial" w:cs="Arial" w:eastAsia="Arial" w:hAnsi="Arial"/>
                <w:sz w:val="20"/>
                <w:szCs w:val="20"/>
                <w:b w:val="1"/>
                <w:bCs w:val="1"/>
                <w:color w:val="auto"/>
              </w:rPr>
              <w:t>Net loss</w:t>
            </w: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(33,376)</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(63,118)</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29,742</w:t>
            </w:r>
          </w:p>
        </w:tc>
        <w:tc>
          <w:tcPr>
            <w:tcW w:w="60" w:type="dxa"/>
            <w:vAlign w:val="bottom"/>
          </w:tcPr>
          <w:p>
            <w:pPr>
              <w:spacing w:after="0"/>
              <w:rPr>
                <w:sz w:val="20"/>
                <w:szCs w:val="20"/>
                <w:color w:val="auto"/>
              </w:rPr>
            </w:pPr>
          </w:p>
        </w:tc>
      </w:tr>
      <w:tr>
        <w:trPr>
          <w:trHeight w:val="239"/>
        </w:trPr>
        <w:tc>
          <w:tcPr>
            <w:tcW w:w="4420" w:type="dxa"/>
            <w:vAlign w:val="bottom"/>
          </w:tcPr>
          <w:p>
            <w:pPr>
              <w:spacing w:after="0"/>
              <w:rPr>
                <w:sz w:val="20"/>
                <w:szCs w:val="20"/>
                <w:color w:val="auto"/>
              </w:rPr>
            </w:pPr>
            <w:r>
              <w:rPr>
                <w:rFonts w:ascii="Arial" w:cs="Arial" w:eastAsia="Arial" w:hAnsi="Arial"/>
                <w:sz w:val="20"/>
                <w:szCs w:val="20"/>
                <w:b w:val="1"/>
                <w:bCs w:val="1"/>
                <w:color w:val="auto"/>
                <w:w w:val="91"/>
              </w:rPr>
              <w:t>Net unrealized (loss) gain on marketable securities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(178)</w:t>
            </w:r>
          </w:p>
        </w:tc>
      </w:tr>
      <w:tr>
        <w:trPr>
          <w:trHeight w:val="239"/>
        </w:trPr>
        <w:tc>
          <w:tcPr>
            <w:tcW w:w="4420" w:type="dxa"/>
            <w:vAlign w:val="bottom"/>
          </w:tcPr>
          <w:p>
            <w:pPr>
              <w:spacing w:after="0"/>
              <w:rPr>
                <w:sz w:val="20"/>
                <w:szCs w:val="20"/>
                <w:color w:val="auto"/>
              </w:rPr>
            </w:pPr>
            <w:r>
              <w:rPr>
                <w:rFonts w:ascii="Arial" w:cs="Arial" w:eastAsia="Arial" w:hAnsi="Arial"/>
                <w:sz w:val="20"/>
                <w:szCs w:val="20"/>
                <w:b w:val="1"/>
                <w:bCs w:val="1"/>
                <w:color w:val="auto"/>
              </w:rPr>
              <w:t>Comprehensive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(33,494)</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(63,058)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29,564</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-2663190</wp:posOffset>
            </wp:positionV>
            <wp:extent cx="4958715" cy="2706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58715" cy="270637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Collaboration Revenue</w:t>
      </w:r>
    </w:p>
    <w:p>
      <w:pPr>
        <w:spacing w:after="0" w:line="251"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b w:val="1"/>
          <w:bCs w:val="1"/>
          <w:color w:val="auto"/>
        </w:rPr>
        <w:t>Revenue was $7.7 million and $7.7 million for 2025 and 2024, respectively. Our revenue in 2025 was due to continued progress in our collaborations as we fulfill our performance obligations to our collaboration partners. Our revenue in 2024 was from revenue our collaboration agreement with Innovent as we satisfied our performance obligations, and continued progress in our other collaborations. We expect our collaboration revenue to vary from period to period and we may have periods of little to no activity depending on the development timeline and activities with our collaboration partners.</w:t>
      </w:r>
    </w:p>
    <w:p>
      <w:pPr>
        <w:sectPr>
          <w:pgSz w:w="12240" w:h="15840" w:orient="portrait"/>
          <w:cols w:equalWidth="0" w:num="1">
            <w:col w:w="9620"/>
          </w:cols>
          <w:pgMar w:left="1260" w:top="1079" w:right="136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71</w:t>
      </w:r>
    </w:p>
    <w:p>
      <w:pPr>
        <w:sectPr>
          <w:pgSz w:w="12240" w:h="15840" w:orient="portrait"/>
          <w:cols w:equalWidth="0" w:num="1">
            <w:col w:w="9620"/>
          </w:cols>
          <w:pgMar w:left="1260" w:top="1079" w:right="1360" w:bottom="181" w:gutter="0" w:footer="0" w:header="0"/>
          <w:type w:val="continuous"/>
        </w:sectPr>
      </w:pPr>
    </w:p>
    <w:bookmarkStart w:id="111" w:name="page112"/>
    <w:bookmarkEnd w:id="111"/>
    <w:p>
      <w:pPr>
        <w:spacing w:after="0"/>
        <w:rPr>
          <w:sz w:val="20"/>
          <w:szCs w:val="20"/>
          <w:color w:val="auto"/>
        </w:rPr>
      </w:pPr>
      <w:r>
        <w:rPr>
          <w:rFonts w:ascii="Arial" w:cs="Arial" w:eastAsia="Arial" w:hAnsi="Arial"/>
          <w:sz w:val="20"/>
          <w:szCs w:val="20"/>
          <w:b w:val="1"/>
          <w:bCs w:val="1"/>
          <w:color w:val="auto"/>
        </w:rPr>
        <w:t>Research and Development Expenses</w:t>
      </w:r>
    </w:p>
    <w:p>
      <w:pPr>
        <w:spacing w:after="0" w:line="251"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b w:val="1"/>
          <w:bCs w:val="1"/>
          <w:color w:val="auto"/>
        </w:rPr>
        <w:t>Research and development expenses decreased by $29.0 million from $57.5 million in 2024 to $28.5 million in 2025. The decrease was due to $9.8 million in lower personnel-related expenses due to a decrease in headcount as a result of our restructuring plans, $6.9 million in lower clinical expenses resulting from the discontinuation of trastuzumab imbotolimod clinical development, $4.9 million in lower research and development lab supplies and contract services expense, $4.5 million in lower facilities expenses, $2.6 million in lower manufacturing expenses related to lower raw material purchases and the timing of batch production of our product candidates and $0.5 million in lower office and travel expenses, offset by an increase of $0.4 million in consulting expenses.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and Administrative Expenses</w:t>
      </w:r>
    </w:p>
    <w:p>
      <w:pPr>
        <w:spacing w:after="0" w:line="251"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General and administrative expenses decreased by $4.7 million, from $18.5 million in 2024 to $13.8 million in 2025. The decrease was due to $4.9 million decrease in salary, bonus and related expenses as a result of our restructuring plans, a decrease of $0.8 million in lower consulting, professional services, marketing expenses, and public relations expenses primarily related to a decrease in legal expenses, and $1.0 million in lower office and travel expenses, offset by $2.3 million in higher facility expenses.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Restructuring Charges</w:t>
      </w:r>
    </w:p>
    <w:p>
      <w:pPr>
        <w:spacing w:after="0" w:line="251" w:lineRule="exact"/>
        <w:rPr>
          <w:sz w:val="20"/>
          <w:szCs w:val="20"/>
          <w:color w:val="auto"/>
        </w:rPr>
      </w:pPr>
    </w:p>
    <w:p>
      <w:pPr>
        <w:ind w:right="140"/>
        <w:spacing w:after="0" w:line="342" w:lineRule="auto"/>
        <w:rPr>
          <w:sz w:val="20"/>
          <w:szCs w:val="20"/>
          <w:color w:val="auto"/>
        </w:rPr>
      </w:pPr>
      <w:r>
        <w:rPr>
          <w:rFonts w:ascii="Arial" w:cs="Arial" w:eastAsia="Arial" w:hAnsi="Arial"/>
          <w:sz w:val="15"/>
          <w:szCs w:val="15"/>
          <w:b w:val="1"/>
          <w:bCs w:val="1"/>
          <w:color w:val="auto"/>
        </w:rPr>
        <w:t>Restructuring charges were $1.5 million in 2025, consisting of $1.5 million of one-time termination benefits such as severance costs and related benefits as a result of the October 2025 restructuring plan. Restructuring charges were $3.3 million in 2024, consisting of $2.9 million of one-time termination benefits such as severance costs and related benefits and $0.7 million of non-cash stock-based compensation expense as a result of the May 2024 restructuring plan.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Impairment Charges</w:t>
      </w:r>
    </w:p>
    <w:p>
      <w:pPr>
        <w:spacing w:after="0" w:line="248"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b w:val="1"/>
          <w:bCs w:val="1"/>
          <w:color w:val="auto"/>
        </w:rPr>
        <w:t>We had no impairment charges in 2025 and $1.5 million of impairment charges in 2024. In August 2020, we executed a non-cancellable lease agreement (the “Chesapeake Master Lease”), which consist of an existing lease and additional space, for its corporate office, laboratory and vivarium space in Redwood City, California. In December 2024, we initiated efforts to sublease part of our Chesapeake Master Lease, which represented a change in circumstances and constituted a triggering event. In response, we performed an impairment evaluation to assess the impact on the carrying value of our long-lived assets. Based on this evaluation, we determined that an impairment charge was required and recognized an impairment loss.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Net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Income, Net</w:t>
      </w:r>
    </w:p>
    <w:p>
      <w:pPr>
        <w:spacing w:after="0" w:line="251" w:lineRule="exact"/>
        <w:rPr>
          <w:sz w:val="20"/>
          <w:szCs w:val="20"/>
          <w:color w:val="auto"/>
        </w:rPr>
      </w:pPr>
    </w:p>
    <w:p>
      <w:pPr>
        <w:jc w:val="both"/>
        <w:ind w:right="140"/>
        <w:spacing w:after="0" w:line="234" w:lineRule="auto"/>
        <w:rPr>
          <w:sz w:val="20"/>
          <w:szCs w:val="20"/>
          <w:color w:val="auto"/>
        </w:rPr>
      </w:pPr>
      <w:r>
        <w:rPr>
          <w:rFonts w:ascii="Arial" w:cs="Arial" w:eastAsia="Arial" w:hAnsi="Arial"/>
          <w:sz w:val="20"/>
          <w:szCs w:val="20"/>
          <w:b w:val="1"/>
          <w:bCs w:val="1"/>
          <w:color w:val="auto"/>
        </w:rPr>
        <w:t>Interest income was $2.5 million in 2025 and $5.3 million in 2024, respectively. The interest income, net was primarily comprised of interest income from marketable securities.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w:t>
      </w:r>
    </w:p>
    <w:p>
      <w:pPr>
        <w:spacing w:after="0" w:line="249" w:lineRule="exact"/>
        <w:rPr>
          <w:sz w:val="20"/>
          <w:szCs w:val="20"/>
          <w:color w:val="auto"/>
        </w:rPr>
      </w:pPr>
    </w:p>
    <w:p>
      <w:pPr>
        <w:jc w:val="both"/>
        <w:ind w:right="120"/>
        <w:spacing w:after="0" w:line="236" w:lineRule="auto"/>
        <w:rPr>
          <w:sz w:val="20"/>
          <w:szCs w:val="20"/>
          <w:color w:val="auto"/>
        </w:rPr>
      </w:pPr>
      <w:r>
        <w:rPr>
          <w:rFonts w:ascii="Arial" w:cs="Arial" w:eastAsia="Arial" w:hAnsi="Arial"/>
          <w:sz w:val="20"/>
          <w:szCs w:val="20"/>
          <w:b w:val="1"/>
          <w:bCs w:val="1"/>
          <w:color w:val="auto"/>
        </w:rPr>
        <w:t>Other income was $0.2 million in 2025 and $4.7 million in 2024. Other income in 2025 consists of income earned from miscellaneous activities not core to our business. Other income in 2024 consists of the one-time payment received from Innovent under our collaboration agreement.</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Sources of Liquidity</w:t>
      </w:r>
    </w:p>
    <w:p>
      <w:pPr>
        <w:spacing w:after="0" w:line="251"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b w:val="1"/>
          <w:bCs w:val="1"/>
          <w:color w:val="auto"/>
        </w:rPr>
        <w:t>We have incurred net losses, $33.4 million and $63.1 million in 2025 and 2024, respectively, and negative cash flows from operations since our inception, with an accumulated deficit of $460.8 million, and we anticipate continuing to incur net operating losses and negative cash flows from operations for the foreseeable future. Under our current plan, we believe our cash and cash equivalents and marketable securities of $31.8 million as of December 31, 2025 may be sufficient to fund our operations into early 2027. As a result, we have concluded that there is substantial doubt about our ability to continue as a going concern within one year after the filing of this Annual Report.</w:t>
      </w:r>
    </w:p>
    <w:p>
      <w:pPr>
        <w:sectPr>
          <w:pgSz w:w="12240" w:h="15840" w:orient="portrait"/>
          <w:cols w:equalWidth="0" w:num="1">
            <w:col w:w="9700"/>
          </w:cols>
          <w:pgMar w:left="1260" w:top="1079" w:right="1280" w:bottom="181"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72</w:t>
      </w:r>
    </w:p>
    <w:p>
      <w:pPr>
        <w:sectPr>
          <w:pgSz w:w="12240" w:h="15840" w:orient="portrait"/>
          <w:cols w:equalWidth="0" w:num="1">
            <w:col w:w="9700"/>
          </w:cols>
          <w:pgMar w:left="1260" w:top="1079" w:right="1280" w:bottom="181" w:gutter="0" w:footer="0" w:header="0"/>
          <w:type w:val="continuous"/>
        </w:sectPr>
      </w:pPr>
    </w:p>
    <w:bookmarkStart w:id="112" w:name="page113"/>
    <w:bookmarkEnd w:id="112"/>
    <w:p>
      <w:pPr>
        <w:spacing w:after="0" w:line="269" w:lineRule="auto"/>
        <w:rPr>
          <w:sz w:val="20"/>
          <w:szCs w:val="20"/>
          <w:color w:val="auto"/>
        </w:rPr>
      </w:pPr>
      <w:r>
        <w:rPr>
          <w:rFonts w:ascii="Arial" w:cs="Arial" w:eastAsia="Arial" w:hAnsi="Arial"/>
          <w:sz w:val="18"/>
          <w:szCs w:val="18"/>
          <w:b w:val="1"/>
          <w:bCs w:val="1"/>
          <w:color w:val="auto"/>
        </w:rPr>
        <w:t>We evaluated our current cash position, historical results, forecasted cash flows and plans with regard to liquidity. Our investment policy prioritizes preservation of principal and availability of cash to meet cash flow requirements, and maximizing total net returns after satisfying the first two conditions. Our policy only allows for investments in fixed-income instruments such as corporate bonds and government securities. We believe we will meet longer-term expected future cash requirements and obligations through a combination of cash flows from operating activities, available cash balances, and equity or debt financings or other capital sources, including potential collaborations, licenses, and other similar arrangements, however, there can be no assurance the additional sources will be available at favorable terms or at all.</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Cash Flows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table sets forth a summary of our cash flows for each of the periods indicated:</w:t>
      </w:r>
    </w:p>
    <w:p>
      <w:pPr>
        <w:spacing w:after="0" w:line="200" w:lineRule="exact"/>
        <w:rPr>
          <w:sz w:val="20"/>
          <w:szCs w:val="20"/>
          <w:color w:val="auto"/>
        </w:rPr>
      </w:pPr>
    </w:p>
    <w:p>
      <w:pPr>
        <w:spacing w:after="0" w:line="330" w:lineRule="exact"/>
        <w:rPr>
          <w:sz w:val="20"/>
          <w:szCs w:val="20"/>
          <w:color w:val="auto"/>
        </w:rPr>
      </w:pPr>
    </w:p>
    <w:tbl>
      <w:tblPr>
        <w:tblLayout w:type="fixed"/>
        <w:tblInd w:w="146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jc w:val="right"/>
              <w:ind w:right="240"/>
              <w:spacing w:after="0"/>
              <w:rPr>
                <w:sz w:val="20"/>
                <w:szCs w:val="20"/>
                <w:color w:val="auto"/>
              </w:rPr>
            </w:pPr>
            <w:r>
              <w:rPr>
                <w:rFonts w:ascii="Arial" w:cs="Arial" w:eastAsia="Arial" w:hAnsi="Arial"/>
                <w:sz w:val="16"/>
                <w:szCs w:val="16"/>
                <w:b w:val="1"/>
                <w:bCs w:val="1"/>
                <w:color w:val="auto"/>
                <w:w w:val="91"/>
              </w:rPr>
              <w:t>Years Ended December 31,</w:t>
            </w:r>
          </w:p>
        </w:tc>
      </w:tr>
      <w:tr>
        <w:trPr>
          <w:trHeight w:val="192"/>
        </w:trPr>
        <w:tc>
          <w:tcPr>
            <w:tcW w:w="4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6"/>
                <w:szCs w:val="16"/>
                <w:color w:val="auto"/>
              </w:rPr>
            </w:pPr>
          </w:p>
        </w:tc>
      </w:tr>
      <w:tr>
        <w:trPr>
          <w:trHeight w:val="194"/>
        </w:trPr>
        <w:tc>
          <w:tcPr>
            <w:tcW w:w="4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(In thousands)</w:t>
            </w:r>
          </w:p>
        </w:tc>
      </w:tr>
      <w:tr>
        <w:trPr>
          <w:trHeight w:val="243"/>
        </w:trPr>
        <w:tc>
          <w:tcPr>
            <w:tcW w:w="4380" w:type="dxa"/>
            <w:vAlign w:val="bottom"/>
          </w:tcPr>
          <w:p>
            <w:pPr>
              <w:spacing w:after="0"/>
              <w:rPr>
                <w:sz w:val="20"/>
                <w:szCs w:val="20"/>
                <w:color w:val="auto"/>
              </w:rPr>
            </w:pPr>
            <w:r>
              <w:rPr>
                <w:rFonts w:ascii="Arial" w:cs="Arial" w:eastAsia="Arial" w:hAnsi="Arial"/>
                <w:sz w:val="20"/>
                <w:szCs w:val="20"/>
                <w:b w:val="1"/>
                <w:bCs w:val="1"/>
                <w:color w:val="auto"/>
              </w:rPr>
              <w:t>Net cash (used in) provided by:</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4380" w:type="dxa"/>
            <w:vAlign w:val="bottom"/>
          </w:tcPr>
          <w:p>
            <w:pPr>
              <w:ind w:left="200"/>
              <w:spacing w:after="0"/>
              <w:rPr>
                <w:sz w:val="20"/>
                <w:szCs w:val="20"/>
                <w:color w:val="auto"/>
              </w:rPr>
            </w:pPr>
            <w:r>
              <w:rPr>
                <w:rFonts w:ascii="Arial" w:cs="Arial" w:eastAsia="Arial" w:hAnsi="Arial"/>
                <w:sz w:val="20"/>
                <w:szCs w:val="20"/>
                <w:b w:val="1"/>
                <w:bCs w:val="1"/>
                <w:color w:val="auto"/>
              </w:rPr>
              <w:t>Operating activities</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(39,850)</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(61,289)</w:t>
            </w:r>
          </w:p>
        </w:tc>
      </w:tr>
      <w:tr>
        <w:trPr>
          <w:trHeight w:val="245"/>
        </w:trPr>
        <w:tc>
          <w:tcPr>
            <w:tcW w:w="4380" w:type="dxa"/>
            <w:vAlign w:val="bottom"/>
          </w:tcPr>
          <w:p>
            <w:pPr>
              <w:ind w:left="200"/>
              <w:spacing w:after="0"/>
              <w:rPr>
                <w:sz w:val="20"/>
                <w:szCs w:val="20"/>
                <w:color w:val="auto"/>
              </w:rPr>
            </w:pPr>
            <w:r>
              <w:rPr>
                <w:rFonts w:ascii="Arial" w:cs="Arial" w:eastAsia="Arial" w:hAnsi="Arial"/>
                <w:sz w:val="20"/>
                <w:szCs w:val="20"/>
                <w:b w:val="1"/>
                <w:bCs w:val="1"/>
                <w:color w:val="auto"/>
              </w:rPr>
              <w:t>Investing activities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9"/>
              <w:spacing w:after="0"/>
              <w:rPr>
                <w:sz w:val="20"/>
                <w:szCs w:val="20"/>
                <w:color w:val="auto"/>
              </w:rPr>
            </w:pPr>
            <w:r>
              <w:rPr>
                <w:rFonts w:ascii="Arial" w:cs="Arial" w:eastAsia="Arial" w:hAnsi="Arial"/>
                <w:sz w:val="20"/>
                <w:szCs w:val="20"/>
                <w:b w:val="1"/>
                <w:bCs w:val="1"/>
                <w:color w:val="auto"/>
              </w:rPr>
              <w:t>44,302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57,576</w:t>
            </w:r>
          </w:p>
        </w:tc>
        <w:tc>
          <w:tcPr>
            <w:tcW w:w="80" w:type="dxa"/>
            <w:vAlign w:val="bottom"/>
          </w:tcPr>
          <w:p>
            <w:pPr>
              <w:spacing w:after="0"/>
              <w:rPr>
                <w:sz w:val="21"/>
                <w:szCs w:val="21"/>
                <w:color w:val="auto"/>
              </w:rPr>
            </w:pPr>
          </w:p>
        </w:tc>
      </w:tr>
      <w:tr>
        <w:trPr>
          <w:trHeight w:val="245"/>
        </w:trPr>
        <w:tc>
          <w:tcPr>
            <w:tcW w:w="4380" w:type="dxa"/>
            <w:vAlign w:val="bottom"/>
          </w:tcPr>
          <w:p>
            <w:pPr>
              <w:ind w:left="200"/>
              <w:spacing w:after="0"/>
              <w:rPr>
                <w:sz w:val="20"/>
                <w:szCs w:val="20"/>
                <w:color w:val="auto"/>
              </w:rPr>
            </w:pPr>
            <w:r>
              <w:rPr>
                <w:rFonts w:ascii="Arial" w:cs="Arial" w:eastAsia="Arial" w:hAnsi="Arial"/>
                <w:sz w:val="20"/>
                <w:szCs w:val="20"/>
                <w:b w:val="1"/>
                <w:bCs w:val="1"/>
                <w:color w:val="auto"/>
              </w:rPr>
              <w:t>Financing activities</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20"/>
                <w:szCs w:val="20"/>
                <w:b w:val="1"/>
                <w:bCs w:val="1"/>
                <w:color w:val="auto"/>
              </w:rPr>
              <w:t>19</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108</w:t>
            </w:r>
          </w:p>
        </w:tc>
        <w:tc>
          <w:tcPr>
            <w:tcW w:w="80" w:type="dxa"/>
            <w:vAlign w:val="bottom"/>
          </w:tcPr>
          <w:p>
            <w:pPr>
              <w:spacing w:after="0"/>
              <w:rPr>
                <w:sz w:val="21"/>
                <w:szCs w:val="21"/>
                <w:color w:val="auto"/>
              </w:rPr>
            </w:pPr>
          </w:p>
        </w:tc>
      </w:tr>
      <w:tr>
        <w:trPr>
          <w:trHeight w:val="239"/>
        </w:trPr>
        <w:tc>
          <w:tcPr>
            <w:tcW w:w="4380" w:type="dxa"/>
            <w:vAlign w:val="bottom"/>
          </w:tcPr>
          <w:p>
            <w:pPr>
              <w:spacing w:after="0"/>
              <w:rPr>
                <w:sz w:val="20"/>
                <w:szCs w:val="20"/>
                <w:color w:val="auto"/>
              </w:rPr>
            </w:pPr>
            <w:r>
              <w:rPr>
                <w:rFonts w:ascii="Arial" w:cs="Arial" w:eastAsia="Arial" w:hAnsi="Arial"/>
                <w:sz w:val="20"/>
                <w:szCs w:val="20"/>
                <w:b w:val="1"/>
                <w:bCs w:val="1"/>
                <w:color w:val="auto"/>
                <w:w w:val="85"/>
              </w:rPr>
              <w:t>Net (decrease) increase in cash, cash equivalents and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20"/>
                <w:szCs w:val="20"/>
                <w:b w:val="1"/>
                <w:bCs w:val="1"/>
                <w:color w:val="auto"/>
              </w:rPr>
              <w:t>restricted cash</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ind w:right="9"/>
              <w:spacing w:after="0"/>
              <w:rPr>
                <w:sz w:val="20"/>
                <w:szCs w:val="20"/>
                <w:color w:val="auto"/>
              </w:rPr>
            </w:pPr>
            <w:r>
              <w:rPr>
                <w:rFonts w:ascii="Arial" w:cs="Arial" w:eastAsia="Arial" w:hAnsi="Arial"/>
                <w:sz w:val="20"/>
                <w:szCs w:val="20"/>
                <w:b w:val="1"/>
                <w:bCs w:val="1"/>
                <w:color w:val="auto"/>
              </w:rPr>
              <w:t>4,471</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(3,605)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-1213485</wp:posOffset>
            </wp:positionV>
            <wp:extent cx="4339590" cy="12553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39590" cy="125539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Activities</w:t>
      </w:r>
    </w:p>
    <w:p>
      <w:pPr>
        <w:spacing w:after="0" w:line="251" w:lineRule="exact"/>
        <w:rPr>
          <w:sz w:val="20"/>
          <w:szCs w:val="20"/>
          <w:color w:val="auto"/>
        </w:rPr>
      </w:pPr>
    </w:p>
    <w:p>
      <w:pPr>
        <w:ind w:right="20"/>
        <w:spacing w:after="0" w:line="325" w:lineRule="auto"/>
        <w:rPr>
          <w:sz w:val="20"/>
          <w:szCs w:val="20"/>
          <w:color w:val="auto"/>
        </w:rPr>
      </w:pPr>
      <w:r>
        <w:rPr>
          <w:rFonts w:ascii="Arial" w:cs="Arial" w:eastAsia="Arial" w:hAnsi="Arial"/>
          <w:sz w:val="15"/>
          <w:szCs w:val="15"/>
          <w:b w:val="1"/>
          <w:bCs w:val="1"/>
          <w:color w:val="auto"/>
        </w:rPr>
        <w:t>Net cash used in operating activities was $39.9 million and $61.3 million for 2025 and 2024, respectively. Net cash used in operating activities for 2025 was due to our net loss of $33.4 million, adjusted for $5.6 million of non-cash charges and a $12.1 million change in operating assets and liabilities. The non-cash charges were comprised of $2.8 million for stock-based compensation, $2.5 million of non-cash lease-related expense, and $1.3 million for depreciation and amortization expense, partially offset by $0.7 million for accretion of discount on marketable securities and $0.3 million gain on sale of property and equipment. The change in net operating assets was primarily due to a $5.4 million decrease in accounts payable and accrued expenses, a $4.6 million decrease in deferred revenue, a $2.3 million decrease in operating lease liabilities, offset by a $0.1 million increase in our prepaid expense and other assets and $0.1 million increase in other long-term liabilities. Net cash used in operating activities for 2024 was due to our net loss of $63.1 million, adjusted for $10.3 million of non-cash charges and a $8.4 million change in operating assets and liabilities. The non-cash charges were comprised of $7.4 million for stock-based compensation, $2.3 million of non-cash lease-related expense, and $1.8 million for depreciation and amortization expense, offset by $2.6 million for accretion of discount on marketable securities. The change in net operating assets was due to a $4.9 million decrease in accounts payable and accrued expenses, a $4.7 million decrease in deferred revenue related to our collaboration agreements, a $1.4 million decrease in operating lease liabilities, offset by a $2.6 million increase in our prepaid expense and other assets.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Investing Activities</w:t>
      </w:r>
    </w:p>
    <w:p>
      <w:pPr>
        <w:spacing w:after="0" w:line="251"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b w:val="1"/>
          <w:bCs w:val="1"/>
          <w:color w:val="auto"/>
        </w:rPr>
        <w:t>Net cash provided by investing activities was $44.3 million and $57.6 million in 2025 and 2024, respectively. The net cash provided by investing activities in 2025 was due to $72.4 million in maturities of marketable securities and $1.0 million in proceeds from sales of property and equipment, offset by $29.0 million in purchases of marketable securities. The net cash provided by investing activities for the same period in 2024 was due to $146.3 million maturities of marketable securities, offset by $88.9 million in purchases of marketable securities.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Financing Activities</w:t>
      </w:r>
    </w:p>
    <w:p>
      <w:pPr>
        <w:spacing w:after="0" w:line="251" w:lineRule="exact"/>
        <w:rPr>
          <w:sz w:val="20"/>
          <w:szCs w:val="20"/>
          <w:color w:val="auto"/>
        </w:rPr>
      </w:pPr>
    </w:p>
    <w:p>
      <w:pPr>
        <w:ind w:right="220"/>
        <w:spacing w:after="0" w:line="292" w:lineRule="auto"/>
        <w:rPr>
          <w:sz w:val="20"/>
          <w:szCs w:val="20"/>
          <w:color w:val="auto"/>
        </w:rPr>
      </w:pPr>
      <w:r>
        <w:rPr>
          <w:rFonts w:ascii="Arial" w:cs="Arial" w:eastAsia="Arial" w:hAnsi="Arial"/>
          <w:sz w:val="17"/>
          <w:szCs w:val="17"/>
          <w:b w:val="1"/>
          <w:bCs w:val="1"/>
          <w:color w:val="auto"/>
        </w:rPr>
        <w:t>Net cash provided by financing activities was $20,000 and $0.1 million for 2025 and 2024, respectively. The net cash provided by financing activities for 2025 was due to net proceeds from the issuance of common stock from our employee stock purchase plan. The net cash provided by financing activities in 2024 was due to the net proceeds from the issuance of common stock from our employee stock purchase plan and exercise of stock options.</w:t>
      </w:r>
    </w:p>
    <w:p>
      <w:pPr>
        <w:sectPr>
          <w:pgSz w:w="12240" w:h="15840" w:orient="portrait"/>
          <w:cols w:equalWidth="0" w:num="1">
            <w:col w:w="9680"/>
          </w:cols>
          <w:pgMar w:left="1260" w:top="1089" w:right="13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73</w:t>
      </w:r>
    </w:p>
    <w:p>
      <w:pPr>
        <w:sectPr>
          <w:pgSz w:w="12240" w:h="15840" w:orient="portrait"/>
          <w:cols w:equalWidth="0" w:num="1">
            <w:col w:w="9680"/>
          </w:cols>
          <w:pgMar w:left="1260" w:top="1089" w:right="1300" w:bottom="181" w:gutter="0" w:footer="0" w:header="0"/>
          <w:type w:val="continuous"/>
        </w:sectPr>
      </w:pPr>
    </w:p>
    <w:bookmarkStart w:id="113" w:name="page114"/>
    <w:bookmarkEnd w:id="113"/>
    <w:p>
      <w:pPr>
        <w:spacing w:after="0"/>
        <w:rPr>
          <w:sz w:val="20"/>
          <w:szCs w:val="20"/>
          <w:color w:val="auto"/>
        </w:rPr>
      </w:pPr>
      <w:r>
        <w:rPr>
          <w:rFonts w:ascii="Arial" w:cs="Arial" w:eastAsia="Arial" w:hAnsi="Arial"/>
          <w:sz w:val="20"/>
          <w:szCs w:val="20"/>
          <w:b w:val="1"/>
          <w:bCs w:val="1"/>
          <w:color w:val="auto"/>
        </w:rPr>
        <w:t>Funding Requirements</w:t>
      </w:r>
    </w:p>
    <w:p>
      <w:pPr>
        <w:spacing w:after="0" w:line="251" w:lineRule="exact"/>
        <w:rPr>
          <w:sz w:val="20"/>
          <w:szCs w:val="20"/>
          <w:color w:val="auto"/>
        </w:rPr>
      </w:pPr>
    </w:p>
    <w:p>
      <w:pPr>
        <w:ind w:right="200"/>
        <w:spacing w:after="0" w:line="351" w:lineRule="auto"/>
        <w:rPr>
          <w:sz w:val="20"/>
          <w:szCs w:val="20"/>
          <w:color w:val="auto"/>
        </w:rPr>
      </w:pPr>
      <w:r>
        <w:rPr>
          <w:rFonts w:ascii="Arial" w:cs="Arial" w:eastAsia="Arial" w:hAnsi="Arial"/>
          <w:sz w:val="15"/>
          <w:szCs w:val="15"/>
          <w:b w:val="1"/>
          <w:bCs w:val="1"/>
          <w:color w:val="auto"/>
        </w:rPr>
        <w:t>Based upon our current operating plans, we believe that our existing cash, cash equivalents and marketable securities may be sufficient to fund our operations into early 2027. As a result, we have concluded that there is substantial doubt about our ability to continue as a going concern within one year after the filing of this Annual Report.</w:t>
      </w:r>
    </w:p>
    <w:p>
      <w:pPr>
        <w:spacing w:after="0" w:line="172" w:lineRule="exact"/>
        <w:rPr>
          <w:sz w:val="20"/>
          <w:szCs w:val="20"/>
          <w:color w:val="auto"/>
        </w:rPr>
      </w:pPr>
    </w:p>
    <w:p>
      <w:pPr>
        <w:ind w:right="480"/>
        <w:spacing w:after="0" w:line="292" w:lineRule="auto"/>
        <w:rPr>
          <w:sz w:val="20"/>
          <w:szCs w:val="20"/>
          <w:color w:val="auto"/>
        </w:rPr>
      </w:pPr>
      <w:r>
        <w:rPr>
          <w:rFonts w:ascii="Arial" w:cs="Arial" w:eastAsia="Arial" w:hAnsi="Arial"/>
          <w:sz w:val="17"/>
          <w:szCs w:val="17"/>
          <w:b w:val="1"/>
          <w:bCs w:val="1"/>
          <w:color w:val="auto"/>
        </w:rPr>
        <w:t>See Note 2 to our consolidated financial statements included elsewhere in this Annual Report on Form 10-K for additional information on our assessment. Similarly, our independent registered public accounting firm included an explanatory paragraph in its report on our financial statements, as of and for the year ended, December 31, 2025, describing the existence of substantial doubt about our ability to continue as a going concern.</w:t>
      </w:r>
    </w:p>
    <w:p>
      <w:pPr>
        <w:spacing w:after="0" w:line="208"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b w:val="1"/>
          <w:bCs w:val="1"/>
          <w:color w:val="auto"/>
        </w:rPr>
        <w:t>We will need to raise additional capital to continue the advancement of our programs. In the near term, our primary uses of cash will be to fund the completion of key milestones for clinical programs and to fund our operations, including research and development activities and employee salaries. This includes significant costs relating to clinical trials and manufacturing our product candidates. Our uses of cash in the long term will be similar as we advance our research and development activities and pay employee salaries. Most pharmaceutical products require larger clinical trials as development progresses, and we expect our funding requirements to grow with the advancement of our programs. Our long-term funding requirements will depend on many factors, which are uncertain but include our portfolio prioritization decisions and the success of our collaborations. In turn, our ability to raise additional capital through equity or partnering will depend on the general economic environment in which we operate and our ability to achieve key milestones.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product candidates in clinical trials is costly, and the timing of progress and expenses in these trials is uncertain.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future capital requirements will depend on many factors, including:</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type, number, scope, progress, expansions, results, costs and timing of our clinical trials;</w:t>
      </w:r>
    </w:p>
    <w:p>
      <w:pPr>
        <w:spacing w:after="0" w:line="145" w:lineRule="exact"/>
        <w:rPr>
          <w:sz w:val="20"/>
          <w:szCs w:val="20"/>
          <w:color w:val="auto"/>
        </w:rPr>
      </w:pPr>
    </w:p>
    <w:p>
      <w:pPr>
        <w:ind w:left="860" w:right="300"/>
        <w:spacing w:after="0" w:line="385" w:lineRule="auto"/>
        <w:rPr>
          <w:sz w:val="20"/>
          <w:szCs w:val="20"/>
          <w:color w:val="auto"/>
        </w:rPr>
      </w:pPr>
      <w:r>
        <w:rPr>
          <w:rFonts w:ascii="Arial" w:cs="Arial" w:eastAsia="Arial" w:hAnsi="Arial"/>
          <w:sz w:val="15"/>
          <w:szCs w:val="15"/>
          <w:b w:val="1"/>
          <w:bCs w:val="1"/>
          <w:color w:val="auto"/>
        </w:rPr>
        <w:t>the type, number, scope, results, costs, and timing of preclinical studies for our product candidates or other potential product candidates or indications which we are pursuing or may choose to pursue in the future;</w:t>
      </w:r>
    </w:p>
    <w:p>
      <w:pPr>
        <w:spacing w:after="0" w:line="28"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outcome, timing and costs of regulatory review of our product candidates;</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the costs and timing of manufacturing for our product candidates, including commercial manufacturing;</w:t>
      </w:r>
    </w:p>
    <w:p>
      <w:pPr>
        <w:spacing w:after="0" w:line="157" w:lineRule="exact"/>
        <w:rPr>
          <w:sz w:val="20"/>
          <w:szCs w:val="20"/>
          <w:color w:val="auto"/>
        </w:rPr>
      </w:pPr>
    </w:p>
    <w:p>
      <w:pPr>
        <w:ind w:left="860" w:right="140"/>
        <w:spacing w:after="0" w:line="254" w:lineRule="auto"/>
        <w:rPr>
          <w:sz w:val="20"/>
          <w:szCs w:val="20"/>
          <w:color w:val="auto"/>
        </w:rPr>
      </w:pPr>
      <w:r>
        <w:rPr>
          <w:rFonts w:ascii="Arial" w:cs="Arial" w:eastAsia="Arial" w:hAnsi="Arial"/>
          <w:sz w:val="19"/>
          <w:szCs w:val="19"/>
          <w:b w:val="1"/>
          <w:bCs w:val="1"/>
          <w:color w:val="auto"/>
        </w:rPr>
        <w:t>our efforts to enhance operational systems and hire additional personnel to satisfy our obligations as a public company, including enhanced internal controls over financial reporting;</w:t>
      </w:r>
    </w:p>
    <w:p>
      <w:pPr>
        <w:spacing w:after="0" w:line="132" w:lineRule="exact"/>
        <w:rPr>
          <w:sz w:val="20"/>
          <w:szCs w:val="20"/>
          <w:color w:val="auto"/>
        </w:rPr>
      </w:pPr>
    </w:p>
    <w:p>
      <w:pPr>
        <w:ind w:left="860" w:right="200"/>
        <w:spacing w:after="0" w:line="234" w:lineRule="auto"/>
        <w:rPr>
          <w:sz w:val="20"/>
          <w:szCs w:val="20"/>
          <w:color w:val="auto"/>
        </w:rPr>
      </w:pPr>
      <w:r>
        <w:rPr>
          <w:rFonts w:ascii="Arial" w:cs="Arial" w:eastAsia="Arial" w:hAnsi="Arial"/>
          <w:sz w:val="20"/>
          <w:szCs w:val="20"/>
          <w:b w:val="1"/>
          <w:bCs w:val="1"/>
          <w:color w:val="auto"/>
        </w:rPr>
        <w:t>the costs associated with hiring additional personnel and consultants as our preclinical and clinical activities increase;</w:t>
      </w:r>
    </w:p>
    <w:p>
      <w:pPr>
        <w:spacing w:after="0" w:line="144" w:lineRule="exact"/>
        <w:rPr>
          <w:sz w:val="20"/>
          <w:szCs w:val="20"/>
          <w:color w:val="auto"/>
        </w:rPr>
      </w:pPr>
    </w:p>
    <w:p>
      <w:pPr>
        <w:ind w:left="860" w:right="300"/>
        <w:spacing w:after="0" w:line="234" w:lineRule="auto"/>
        <w:rPr>
          <w:sz w:val="20"/>
          <w:szCs w:val="20"/>
          <w:color w:val="auto"/>
        </w:rPr>
      </w:pPr>
      <w:r>
        <w:rPr>
          <w:rFonts w:ascii="Arial" w:cs="Arial" w:eastAsia="Arial" w:hAnsi="Arial"/>
          <w:sz w:val="20"/>
          <w:szCs w:val="20"/>
          <w:b w:val="1"/>
          <w:bCs w:val="1"/>
          <w:color w:val="auto"/>
        </w:rPr>
        <w:t>the costs and timing of establishing or securing sales and marketing capabilities if any product candidate is approved;</w:t>
      </w:r>
    </w:p>
    <w:p>
      <w:pPr>
        <w:spacing w:after="0" w:line="146" w:lineRule="exact"/>
        <w:rPr>
          <w:sz w:val="20"/>
          <w:szCs w:val="20"/>
          <w:color w:val="auto"/>
        </w:rPr>
      </w:pPr>
    </w:p>
    <w:p>
      <w:pPr>
        <w:ind w:left="860" w:right="300"/>
        <w:spacing w:after="0" w:line="254" w:lineRule="auto"/>
        <w:rPr>
          <w:sz w:val="20"/>
          <w:szCs w:val="20"/>
          <w:color w:val="auto"/>
        </w:rPr>
      </w:pPr>
      <w:r>
        <w:rPr>
          <w:rFonts w:ascii="Arial" w:cs="Arial" w:eastAsia="Arial" w:hAnsi="Arial"/>
          <w:sz w:val="19"/>
          <w:szCs w:val="19"/>
          <w:b w:val="1"/>
          <w:bCs w:val="1"/>
          <w:color w:val="auto"/>
        </w:rPr>
        <w:t>our ability to achieve sufficient market acceptance, coverage and adequate reimbursement from third-party payors and adequate market share and revenue for any approved products;</w:t>
      </w:r>
    </w:p>
    <w:p>
      <w:pPr>
        <w:spacing w:after="0" w:line="132" w:lineRule="exact"/>
        <w:rPr>
          <w:sz w:val="20"/>
          <w:szCs w:val="20"/>
          <w:color w:val="auto"/>
        </w:rPr>
      </w:pPr>
    </w:p>
    <w:p>
      <w:pPr>
        <w:ind w:left="860" w:right="620"/>
        <w:spacing w:after="0" w:line="234" w:lineRule="auto"/>
        <w:rPr>
          <w:sz w:val="20"/>
          <w:szCs w:val="20"/>
          <w:color w:val="auto"/>
        </w:rPr>
      </w:pPr>
      <w:r>
        <w:rPr>
          <w:rFonts w:ascii="Arial" w:cs="Arial" w:eastAsia="Arial" w:hAnsi="Arial"/>
          <w:sz w:val="20"/>
          <w:szCs w:val="20"/>
          <w:b w:val="1"/>
          <w:bCs w:val="1"/>
          <w:color w:val="auto"/>
        </w:rPr>
        <w:t>patients’ willingness to pay out-of-pocket for any approved products in the absence of coverage and/or adequate reimbursement from third-party payors;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the terms and timing of establishing and maintaining collaborations, licenses and other similar arrangements;</w:t>
      </w:r>
    </w:p>
    <w:p>
      <w:pPr>
        <w:spacing w:after="0" w:line="169" w:lineRule="exact"/>
        <w:rPr>
          <w:sz w:val="20"/>
          <w:szCs w:val="20"/>
          <w:color w:val="auto"/>
        </w:rPr>
      </w:pPr>
    </w:p>
    <w:p>
      <w:pPr>
        <w:ind w:left="860" w:right="80"/>
        <w:spacing w:after="0" w:line="234" w:lineRule="auto"/>
        <w:rPr>
          <w:sz w:val="20"/>
          <w:szCs w:val="20"/>
          <w:color w:val="auto"/>
        </w:rPr>
      </w:pPr>
      <w:r>
        <w:rPr>
          <w:rFonts w:ascii="Arial" w:cs="Arial" w:eastAsia="Arial" w:hAnsi="Arial"/>
          <w:sz w:val="20"/>
          <w:szCs w:val="20"/>
          <w:b w:val="1"/>
          <w:bCs w:val="1"/>
          <w:color w:val="auto"/>
        </w:rPr>
        <w:t>the costs of obtaining, maintaining, defending, and enforcing our patent and other intellectual property rights; and</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costs associated with any product candidates, products, or technologies that we may in-license or acquire.</w:t>
      </w:r>
    </w:p>
    <w:p>
      <w:pPr>
        <w:spacing w:after="0" w:line="286" w:lineRule="exact"/>
        <w:rPr>
          <w:sz w:val="20"/>
          <w:szCs w:val="20"/>
          <w:color w:val="auto"/>
        </w:rPr>
      </w:pPr>
    </w:p>
    <w:p>
      <w:pPr>
        <w:spacing w:after="0" w:line="341" w:lineRule="auto"/>
        <w:rPr>
          <w:sz w:val="20"/>
          <w:szCs w:val="20"/>
          <w:color w:val="auto"/>
        </w:rPr>
      </w:pPr>
      <w:r>
        <w:rPr>
          <w:rFonts w:ascii="Arial" w:cs="Arial" w:eastAsia="Arial" w:hAnsi="Arial"/>
          <w:sz w:val="15"/>
          <w:szCs w:val="15"/>
          <w:b w:val="1"/>
          <w:bCs w:val="1"/>
          <w:color w:val="auto"/>
        </w:rPr>
        <w:t>Until such time as we can generate significant revenue from sales of our product candidates, if ever, we expect to finance our cash needs through equity or debt financings or other capital sources, including potential collaborations, licenses, the sale of future royalties, and other similar arrangements. However, we may be unable to raise additional funds or enter into such other arrangements on favorable terms or at all. To the extent that we raise additional capital through the sale</w:t>
      </w:r>
    </w:p>
    <w:p>
      <w:pPr>
        <w:sectPr>
          <w:pgSz w:w="12240" w:h="15840" w:orient="portrait"/>
          <w:cols w:equalWidth="0" w:num="1">
            <w:col w:w="9700"/>
          </w:cols>
          <w:pgMar w:left="1260" w:top="1079" w:right="1280" w:bottom="181"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74</w:t>
      </w:r>
    </w:p>
    <w:p>
      <w:pPr>
        <w:sectPr>
          <w:pgSz w:w="12240" w:h="15840" w:orient="portrait"/>
          <w:cols w:equalWidth="0" w:num="1">
            <w:col w:w="9700"/>
          </w:cols>
          <w:pgMar w:left="1260" w:top="1079" w:right="1280" w:bottom="181" w:gutter="0" w:footer="0" w:header="0"/>
          <w:type w:val="continuous"/>
        </w:sectPr>
      </w:pPr>
    </w:p>
    <w:bookmarkStart w:id="114" w:name="page115"/>
    <w:bookmarkEnd w:id="114"/>
    <w:p>
      <w:pPr>
        <w:ind w:right="60"/>
        <w:spacing w:after="0" w:line="327" w:lineRule="auto"/>
        <w:rPr>
          <w:sz w:val="20"/>
          <w:szCs w:val="20"/>
          <w:color w:val="auto"/>
        </w:rPr>
      </w:pPr>
      <w:r>
        <w:rPr>
          <w:rFonts w:ascii="Arial" w:cs="Arial" w:eastAsia="Arial" w:hAnsi="Arial"/>
          <w:sz w:val="15"/>
          <w:szCs w:val="15"/>
          <w:b w:val="1"/>
          <w:bCs w:val="1"/>
          <w:color w:val="auto"/>
        </w:rPr>
        <w:t>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 and Commitments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Collaboration Agreements</w:t>
      </w:r>
    </w:p>
    <w:p>
      <w:pPr>
        <w:spacing w:after="0" w:line="251" w:lineRule="exact"/>
        <w:rPr>
          <w:sz w:val="20"/>
          <w:szCs w:val="20"/>
          <w:color w:val="auto"/>
        </w:rPr>
      </w:pPr>
    </w:p>
    <w:p>
      <w:pPr>
        <w:jc w:val="both"/>
        <w:ind w:right="600"/>
        <w:spacing w:after="0" w:line="235" w:lineRule="auto"/>
        <w:rPr>
          <w:sz w:val="20"/>
          <w:szCs w:val="20"/>
          <w:color w:val="auto"/>
        </w:rPr>
      </w:pPr>
      <w:r>
        <w:rPr>
          <w:rFonts w:ascii="Arial" w:cs="Arial" w:eastAsia="Arial" w:hAnsi="Arial"/>
          <w:sz w:val="20"/>
          <w:szCs w:val="20"/>
          <w:b w:val="1"/>
          <w:bCs w:val="1"/>
          <w:color w:val="auto"/>
        </w:rPr>
        <w:t>We maintain multiple research and development collaboration agreements that provide for ongoing development activities and include commitments related to the funding and execution of research, development, and regulatory activities.</w:t>
      </w:r>
    </w:p>
    <w:p>
      <w:pPr>
        <w:spacing w:after="0" w:line="133" w:lineRule="exact"/>
        <w:rPr>
          <w:sz w:val="20"/>
          <w:szCs w:val="20"/>
          <w:color w:val="auto"/>
        </w:rPr>
      </w:pPr>
    </w:p>
    <w:p>
      <w:pPr>
        <w:ind w:right="80"/>
        <w:spacing w:after="0" w:line="336" w:lineRule="auto"/>
        <w:rPr>
          <w:sz w:val="20"/>
          <w:szCs w:val="20"/>
          <w:color w:val="auto"/>
        </w:rPr>
      </w:pPr>
      <w:r>
        <w:rPr>
          <w:rFonts w:ascii="Arial" w:cs="Arial" w:eastAsia="Arial" w:hAnsi="Arial"/>
          <w:sz w:val="15"/>
          <w:szCs w:val="15"/>
          <w:b w:val="1"/>
          <w:bCs w:val="1"/>
          <w:color w:val="auto"/>
        </w:rPr>
        <w:t>In March 2019, we entered into a Joint Development and License Agreement with Toray Industries to develop and commercialize a Boltbody ISAC incorporating a proprietary Toray antibody targeting Caprin-1. Under the agreement, the parties granted each other co-exclusive licenses to certain patents and know-how covering their respective technologies and are responsible for development and regulatory activities pursuant to an agreed development plan. The collaboration includes cost-sharing and reimbursement arrangements customary for joint development collaborations.</w:t>
      </w:r>
    </w:p>
    <w:p>
      <w:pPr>
        <w:spacing w:after="0" w:line="62"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b w:val="1"/>
          <w:bCs w:val="1"/>
          <w:color w:val="auto"/>
        </w:rPr>
        <w:t>In May 2021, we entered into a License and Collaboration Agreement with Genmab A/S to evaluate Genmab antibodies in combination with our immune-stimulating linker-payload technology for the discovery and development of next-generation ISACs. Under the collaboration, Genmab funds research and early development activities, and the parties have rights to exclusively develop or co-develop and exclusively commercialize resulting candidates. The collaboration provides for upfront consideration, research funding, potential milestone payments, and tiered royalties.</w:t>
      </w:r>
    </w:p>
    <w:p>
      <w:pPr>
        <w:spacing w:after="0" w:line="91"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In August 2021, we entered into a License and Collaboration Agreement with Innovent Biologics to leverage Innovent’s proprietary therapeutic antibody portfolio and antibody discovery capability against undisclosed oncology targets in combination with our Boltbody ISAC technology and myeloid biology expertise. In March 2024, we secured exclusive worldwide rights to BDC-4182 following the restructuring of the Innovent collaboration. Innovent and its affiliates are eligible to receive commercial and sales milestone payments as well as royalties on global net sales.</w:t>
      </w:r>
    </w:p>
    <w:p>
      <w:pPr>
        <w:spacing w:after="0" w:line="213" w:lineRule="exact"/>
        <w:rPr>
          <w:sz w:val="20"/>
          <w:szCs w:val="20"/>
          <w:color w:val="auto"/>
        </w:rPr>
      </w:pPr>
    </w:p>
    <w:p>
      <w:pPr>
        <w:ind w:right="440"/>
        <w:spacing w:after="0" w:line="234" w:lineRule="auto"/>
        <w:rPr>
          <w:sz w:val="20"/>
          <w:szCs w:val="20"/>
          <w:color w:val="auto"/>
        </w:rPr>
      </w:pPr>
      <w:r>
        <w:rPr>
          <w:rFonts w:ascii="Arial" w:cs="Arial" w:eastAsia="Arial" w:hAnsi="Arial"/>
          <w:sz w:val="20"/>
          <w:szCs w:val="20"/>
          <w:b w:val="1"/>
          <w:bCs w:val="1"/>
          <w:color w:val="auto"/>
        </w:rPr>
        <w:t>We include more detail on our collaboration agreements in Note 5 to our consolidated financial statements included elsewhere in this Annual Report on Form 10-K.</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License Agreements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License Agreement with Stanford University</w:t>
      </w:r>
    </w:p>
    <w:p>
      <w:pPr>
        <w:spacing w:after="0" w:line="251"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In May 2015, we entered into a license agreement with Stanford, pursuant to which Stanford granted us an exclusive license to certain inventions. Under this agreement, we are obligated to pay annual license maintenance fees, which are nominal and will be creditable against any royalties payable to Stanford under such agreement in the applicable year. We are required in each agreement to make milestone payments up to an aggregate of $0.4 million for the first licensed product under such agreement that meets certain patent issuance, clinical and regulatory milestones, and an additional milestone payment of $0.2 million for each additional regulatory approval. We also agreed the license agreement to pay Stanford tiered royalties on our and our sublicensees’ net sales of licensed products, at low single-digit percentage rates, subject to certain customary reductions. Our royalty obligations continue for the term of the license agreement, and we are required to pay royalties on any licensed products made, used, imported or offered for sale during the term of such agreement but sold after the term of the agreement. In addition, we are obligated in the license agreement to pay Stanford a sub-teen double digit to low teen double-digit percentage, based on the date of sublicensing, of certain consideration we receive as a result of granting sublicenses to the licensed patents. Pursuant to the license agreement, we will reimburse Stanford’s patent expenses, including reasonable costs incurred in assisting us with prosecuting and maintaining licensed patents.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ectPr>
          <w:pgSz w:w="12240" w:h="15840" w:orient="portrait"/>
          <w:cols w:equalWidth="0" w:num="1">
            <w:col w:w="9700"/>
          </w:cols>
          <w:pgMar w:left="1260" w:top="1089" w:right="1280" w:bottom="181"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75</w:t>
      </w:r>
    </w:p>
    <w:p>
      <w:pPr>
        <w:sectPr>
          <w:pgSz w:w="12240" w:h="15840" w:orient="portrait"/>
          <w:cols w:equalWidth="0" w:num="1">
            <w:col w:w="9700"/>
          </w:cols>
          <w:pgMar w:left="1260" w:top="1089" w:right="1280" w:bottom="181" w:gutter="0" w:footer="0" w:header="0"/>
          <w:type w:val="continuous"/>
        </w:sectPr>
      </w:pPr>
    </w:p>
    <w:bookmarkStart w:id="115" w:name="page116"/>
    <w:bookmarkEnd w:id="115"/>
    <w:p>
      <w:pPr>
        <w:ind w:right="80"/>
        <w:spacing w:after="0" w:line="285" w:lineRule="auto"/>
        <w:rPr>
          <w:sz w:val="20"/>
          <w:szCs w:val="20"/>
          <w:color w:val="auto"/>
        </w:rPr>
      </w:pPr>
      <w:r>
        <w:rPr>
          <w:rFonts w:ascii="Arial" w:cs="Arial" w:eastAsia="Arial" w:hAnsi="Arial"/>
          <w:sz w:val="17"/>
          <w:szCs w:val="17"/>
          <w:b w:val="1"/>
          <w:bCs w:val="1"/>
          <w:color w:val="auto"/>
        </w:rPr>
        <w:t>Our management’s discussion and analysis of our financial condition and results of operations are based on our consolidated financial statements, which have been prepared in accordance with U.S. generally accepted accounting principles, or GAAP. The preparation of these consolidated financial statements requires us to make estimates and judgments that affect the reported amounts of assets, liabilities and expenses and the disclosure of contingent assets and liabilities in our consolidated financial statements and accompanying notes.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While our significant accounting policies are described in more detail in Note 2 to our consolidated financial statements included elsewhere in this Annual Report on Form 10-K, we believe the following accounting policies and estimates to be most critical to the preparation of our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251"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For all periods presented, we recognized revenue in accordance with the provisions of Accounting Standard Codification Topic 606, Revenue from Contract with Customers, or ASC 606. In accordance with ASC 606, when our customer obtains control of promised goods or services, in an amount that reflects the consideration which we expect to receive in exchange for those goods or services. We perform the following five steps in determining the appropriate amount of revenue to be recognized as we fulfill our obligations under each of these agreements:</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identification of the promised goods and services in the contract;</w:t>
      </w:r>
    </w:p>
    <w:p>
      <w:pPr>
        <w:spacing w:after="0" w:line="145" w:lineRule="exact"/>
        <w:rPr>
          <w:sz w:val="20"/>
          <w:szCs w:val="20"/>
          <w:color w:val="auto"/>
        </w:rPr>
      </w:pPr>
    </w:p>
    <w:p>
      <w:pPr>
        <w:ind w:left="860" w:right="120"/>
        <w:spacing w:after="0" w:line="234" w:lineRule="auto"/>
        <w:rPr>
          <w:sz w:val="20"/>
          <w:szCs w:val="20"/>
          <w:color w:val="auto"/>
        </w:rPr>
      </w:pPr>
      <w:r>
        <w:rPr>
          <w:rFonts w:ascii="Arial" w:cs="Arial" w:eastAsia="Arial" w:hAnsi="Arial"/>
          <w:sz w:val="20"/>
          <w:szCs w:val="20"/>
          <w:b w:val="1"/>
          <w:bCs w:val="1"/>
          <w:color w:val="auto"/>
        </w:rPr>
        <w:t>determination of whether the promised goods or services are performance obligations including whether they are distinct in the context of the contract;</w:t>
      </w:r>
    </w:p>
    <w:p>
      <w:pPr>
        <w:spacing w:after="0" w:line="144" w:lineRule="exact"/>
        <w:rPr>
          <w:sz w:val="20"/>
          <w:szCs w:val="20"/>
          <w:color w:val="auto"/>
        </w:rPr>
      </w:pPr>
    </w:p>
    <w:p>
      <w:pPr>
        <w:ind w:left="860" w:right="1740"/>
        <w:spacing w:after="0" w:line="447" w:lineRule="auto"/>
        <w:rPr>
          <w:sz w:val="20"/>
          <w:szCs w:val="20"/>
          <w:color w:val="auto"/>
        </w:rPr>
      </w:pPr>
      <w:r>
        <w:rPr>
          <w:rFonts w:ascii="Arial" w:cs="Arial" w:eastAsia="Arial" w:hAnsi="Arial"/>
          <w:sz w:val="17"/>
          <w:szCs w:val="17"/>
          <w:b w:val="1"/>
          <w:bCs w:val="1"/>
          <w:color w:val="auto"/>
        </w:rPr>
        <w:t>measurement of the transaction price, including any constraint on variable consideration; allocation of the transaction price to the performance obligations; and</w:t>
      </w:r>
    </w:p>
    <w:p>
      <w:pPr>
        <w:ind w:left="500"/>
        <w:spacing w:after="0"/>
        <w:rPr>
          <w:sz w:val="20"/>
          <w:szCs w:val="20"/>
          <w:color w:val="auto"/>
        </w:rPr>
      </w:pPr>
      <w:r>
        <w:rPr>
          <w:rFonts w:ascii="Arial" w:cs="Arial" w:eastAsia="Arial" w:hAnsi="Arial"/>
          <w:sz w:val="20"/>
          <w:szCs w:val="20"/>
          <w:b w:val="1"/>
          <w:bCs w:val="1"/>
          <w:color w:val="auto"/>
        </w:rPr>
        <w:t>recognition of revenue when, or as, we satisfy each performance obligation.</w:t>
      </w:r>
    </w:p>
    <w:p>
      <w:pPr>
        <w:spacing w:after="0" w:line="274"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If an agreement includes a license to our intellectual property and that license is determined to be distinct from the other performance obligations identified in the arrangement, we recognize revenues allocated to the license when the license is transferred to the customer and the customer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measure of performance and related revenue recognition. For combined performance obligation that is satisfied over time, collaboration revenue is recognized over time proportionate to the costs incurred to perform the services using an input method as a measure of progress towards satisfying the performance obligation, which is based on project hours. In some agreements, we receive compensation for the research and development services performed, which may be billed in the quarter ahead of performance and are trued up on the subsequent quarter’s invoice following the work performed, or billed based on actual hours incurred. The cumulative effect of revisions to estimated hours to complete our performance obligation will be recorded in the period in which changes are identified and amounts can be reasonably estimated. While such changes to our estimates have no impact on our reported cash flows, the amount of revenue recorded in the period could be materially impacted.</w:t>
      </w:r>
    </w:p>
    <w:p>
      <w:pPr>
        <w:spacing w:after="0" w:line="218"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b w:val="1"/>
          <w:bCs w:val="1"/>
          <w:color w:val="auto"/>
        </w:rPr>
        <w:t>Amounts received prior to satisfying the above revenue recognition criteria were recognized as deferred revenue until all applicable revenue recognition criteria were met. Deferred revenue represented the portion of payments received that have not been earned.</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Accrued Research and Development Expenses</w:t>
      </w:r>
    </w:p>
    <w:p>
      <w:pPr>
        <w:spacing w:after="0" w:line="251"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auto"/>
        </w:rPr>
        <w:t>We are required to estimate our expenses resulting from our obligations under contracts with vendors, consultants and CROs, in connection with conducting research and development activities. The financial terms of these contracts vary from contract to contract and may result in payment flows that do not match the periods over which materials or services are provided under such contracts. We reflect research and development expenses in our consolidated financial statements by matching those expenses with the period in which services and efforts are expended.</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76</w:t>
      </w:r>
    </w:p>
    <w:p>
      <w:pPr>
        <w:sectPr>
          <w:pgSz w:w="12240" w:h="15840" w:orient="portrait"/>
          <w:cols w:equalWidth="0" w:num="1">
            <w:col w:w="9700"/>
          </w:cols>
          <w:pgMar w:left="1260" w:top="1089" w:right="1280" w:bottom="181" w:gutter="0" w:footer="0" w:header="0"/>
          <w:type w:val="continuous"/>
        </w:sectPr>
      </w:pPr>
    </w:p>
    <w:bookmarkStart w:id="116" w:name="page117"/>
    <w:bookmarkEnd w:id="116"/>
    <w:p>
      <w:pPr>
        <w:ind w:right="160"/>
        <w:spacing w:after="0" w:line="252" w:lineRule="auto"/>
        <w:rPr>
          <w:sz w:val="20"/>
          <w:szCs w:val="20"/>
          <w:color w:val="auto"/>
        </w:rPr>
      </w:pPr>
      <w:r>
        <w:rPr>
          <w:rFonts w:ascii="Arial" w:cs="Arial" w:eastAsia="Arial" w:hAnsi="Arial"/>
          <w:sz w:val="19"/>
          <w:szCs w:val="19"/>
          <w:b w:val="1"/>
          <w:bCs w:val="1"/>
          <w:color w:val="auto"/>
        </w:rPr>
        <w:t>We account for these expenses according to the progress of the preclinical study as measured by the timing of various aspects of the study or related activities. We determine accrual estimates through review of the underlying contracts along with discussions with our third-party services providers and our personnel as to the progress of studies, or other services being conducted. During the course of a study, we adjust our rate of expense recognition if actual results differ from our estimates.</w:t>
      </w:r>
    </w:p>
    <w:p>
      <w:pPr>
        <w:spacing w:after="0" w:line="24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Our accrual is dependent, in part, upon the receipt of timely and accurate reporting from CROs and other third-party vendors. Variations in the assumptions used to estimate accruals including, but not limited to, the number of patients enrolled, the rate of patient enrollment and the actual services performed, may vary from our estimates, resulting in adjustments to clinical trial expenses in future periods. Changes in these estimates that result in material changes to our accruals could materially affect our financial condition and results of operations. To date, there have been no material differences between our estimates of such expenses and the amounts actually incurred.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 Expense</w:t>
      </w:r>
    </w:p>
    <w:p>
      <w:pPr>
        <w:spacing w:after="0" w:line="251" w:lineRule="exact"/>
        <w:rPr>
          <w:sz w:val="20"/>
          <w:szCs w:val="20"/>
          <w:color w:val="auto"/>
        </w:rPr>
      </w:pPr>
    </w:p>
    <w:p>
      <w:pPr>
        <w:jc w:val="both"/>
        <w:ind w:right="160"/>
        <w:spacing w:after="0" w:line="297" w:lineRule="auto"/>
        <w:rPr>
          <w:sz w:val="20"/>
          <w:szCs w:val="20"/>
          <w:color w:val="auto"/>
        </w:rPr>
      </w:pPr>
      <w:r>
        <w:rPr>
          <w:rFonts w:ascii="Arial" w:cs="Arial" w:eastAsia="Arial" w:hAnsi="Arial"/>
          <w:sz w:val="17"/>
          <w:szCs w:val="17"/>
          <w:b w:val="1"/>
          <w:bCs w:val="1"/>
          <w:color w:val="auto"/>
        </w:rPr>
        <w:t>Stock-based compensation expense represents the cost of the grant date fair value of equity awards recognized over the requisite service period of the awards (usually the vesting period) on a straight-line basis. We estimate the fair value of stock option awards using the Black-Scholes option pricing model and recognize forfeitures as they occur.</w:t>
      </w:r>
    </w:p>
    <w:p>
      <w:pPr>
        <w:spacing w:after="0" w:line="206"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b w:val="1"/>
          <w:bCs w:val="1"/>
          <w:color w:val="auto"/>
        </w:rPr>
        <w:t>For restricted stock awards, the fair value of the award is the estimated fair value of our common stock on the grant date, as determined by our board of directors.</w:t>
      </w:r>
    </w:p>
    <w:p>
      <w:pPr>
        <w:spacing w:after="0" w:line="250" w:lineRule="exact"/>
        <w:rPr>
          <w:sz w:val="20"/>
          <w:szCs w:val="20"/>
          <w:color w:val="auto"/>
        </w:rPr>
      </w:pPr>
    </w:p>
    <w:p>
      <w:pPr>
        <w:spacing w:after="0" w:line="330" w:lineRule="auto"/>
        <w:rPr>
          <w:sz w:val="20"/>
          <w:szCs w:val="20"/>
          <w:color w:val="auto"/>
        </w:rPr>
      </w:pPr>
      <w:r>
        <w:rPr>
          <w:rFonts w:ascii="Arial" w:cs="Arial" w:eastAsia="Arial" w:hAnsi="Arial"/>
          <w:sz w:val="15"/>
          <w:szCs w:val="15"/>
          <w:b w:val="1"/>
          <w:bCs w:val="1"/>
          <w:color w:val="auto"/>
        </w:rPr>
        <w:t>The Black-Scholes option pricing model requires the use of subjective assumptions, including the risk-free interest rate, the expected stock price volatility, the expected term of stock options, the expected dividend yield and the fair value of the underlying common stock on the date of grant. Changes in the assumptions can materially affect the fair value and ultimately how much stock-based compensation expense is recognized. These inputs are subjective and generally require significant analysis and judgment to develop. See Note 9 to our consolidated financial statements included elsewhere in this Annual Report on Form 10-K for information concerning certain of the specific assumptions we used in applying the Black-Scholes option pricing model to determine the estimated fair value of our stock options granted in 2025 and 2024.</w:t>
      </w:r>
    </w:p>
    <w:p>
      <w:pPr>
        <w:spacing w:after="0" w:line="190" w:lineRule="exact"/>
        <w:rPr>
          <w:sz w:val="20"/>
          <w:szCs w:val="20"/>
          <w:color w:val="auto"/>
        </w:rPr>
      </w:pPr>
    </w:p>
    <w:p>
      <w:pPr>
        <w:ind w:right="340"/>
        <w:spacing w:after="0" w:line="237" w:lineRule="auto"/>
        <w:rPr>
          <w:sz w:val="20"/>
          <w:szCs w:val="20"/>
          <w:color w:val="auto"/>
        </w:rPr>
      </w:pPr>
      <w:r>
        <w:rPr>
          <w:rFonts w:ascii="Arial" w:cs="Arial" w:eastAsia="Arial" w:hAnsi="Arial"/>
          <w:sz w:val="20"/>
          <w:szCs w:val="20"/>
          <w:b w:val="1"/>
          <w:bCs w:val="1"/>
          <w:color w:val="auto"/>
        </w:rPr>
        <w:t>In 2025 and 2024, stock-based compensation expense related to stock options was $2.8 million and $7.4 million, respectively. As of December 31, 2025, the unrecognized stock-based compensation expense related to stock options was $0.8 million and is expected to be recognized as expense over a weighted-average period of approximately 1.8 years.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Emerging Growth Company and Smaller Reporting Company Status</w:t>
      </w:r>
    </w:p>
    <w:p>
      <w:pPr>
        <w:spacing w:after="0" w:line="24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auto"/>
        </w:rPr>
        <w:t>In April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the Sarbanes-Oxley Act. We will cease to be an emerging growth company as of December 31, 2026.</w:t>
      </w:r>
    </w:p>
    <w:p>
      <w:pPr>
        <w:spacing w:after="0" w:line="23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color w:val="auto"/>
        </w:rPr>
        <w:t>We are also a “smaller reporting company,” meaning that the market value of our stock held by non-affiliates plus the aggregate amount of gross proceeds to us as a result of our initial public offering, is less than $700 million and our annual revenue was less than $100 million during the most recently completed fiscal year. We may continue to be a smaller reporting company if either (i) the market value of our stock held by non-affiliates is less than $250 million as of the last business day of the second fiscal quarter or (ii) our annual revenue was less than $100 million during the most recently completed fiscal year and the market value of our stock held by non-affiliates is less than $700 million as of the last business day of the second fiscal quarter. If we are a smaller reporting company at the time we cease to be an emerging growth company, we may continue to rely on exemptions from certain disclosure requirements that are</w:t>
      </w:r>
    </w:p>
    <w:p>
      <w:pPr>
        <w:sectPr>
          <w:pgSz w:w="12240" w:h="15840" w:orient="portrait"/>
          <w:cols w:equalWidth="0" w:num="1">
            <w:col w:w="9700"/>
          </w:cols>
          <w:pgMar w:left="1260" w:top="1089" w:right="1280" w:bottom="181"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77</w:t>
      </w:r>
    </w:p>
    <w:p>
      <w:pPr>
        <w:sectPr>
          <w:pgSz w:w="12240" w:h="15840" w:orient="portrait"/>
          <w:cols w:equalWidth="0" w:num="1">
            <w:col w:w="9700"/>
          </w:cols>
          <w:pgMar w:left="1260" w:top="1089" w:right="1280" w:bottom="181" w:gutter="0" w:footer="0" w:header="0"/>
          <w:type w:val="continuous"/>
        </w:sectPr>
      </w:pPr>
    </w:p>
    <w:bookmarkStart w:id="117" w:name="page118"/>
    <w:bookmarkEnd w:id="117"/>
    <w:p>
      <w:pPr>
        <w:ind w:right="240"/>
        <w:spacing w:after="0" w:line="252" w:lineRule="auto"/>
        <w:rPr>
          <w:sz w:val="20"/>
          <w:szCs w:val="20"/>
          <w:color w:val="auto"/>
        </w:rPr>
      </w:pPr>
      <w:r>
        <w:rPr>
          <w:rFonts w:ascii="Arial" w:cs="Arial" w:eastAsia="Arial" w:hAnsi="Arial"/>
          <w:sz w:val="19"/>
          <w:szCs w:val="19"/>
          <w:b w:val="1"/>
          <w:bCs w:val="1"/>
          <w:color w:val="auto"/>
        </w:rPr>
        <w:t>available to smaller reporting companies. Specifically, as a smaller reporting company we may choose to present only the two most recent fiscal years of audited consolidated financial statements in our Annual Report on Form 10-K and, similar to emerging growth companies, smaller reporting companies have reduced disclosure obligations regarding executive compensation.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(NOL) and Research and Development Carryforwards and Other Income Tax Information</w:t>
      </w:r>
    </w:p>
    <w:p>
      <w:pPr>
        <w:spacing w:after="0" w:line="263" w:lineRule="exact"/>
        <w:rPr>
          <w:sz w:val="20"/>
          <w:szCs w:val="20"/>
          <w:color w:val="auto"/>
        </w:rPr>
      </w:pPr>
    </w:p>
    <w:p>
      <w:pPr>
        <w:ind w:right="40"/>
        <w:spacing w:after="0" w:line="326" w:lineRule="auto"/>
        <w:rPr>
          <w:sz w:val="20"/>
          <w:szCs w:val="20"/>
          <w:color w:val="auto"/>
        </w:rPr>
      </w:pPr>
      <w:r>
        <w:rPr>
          <w:rFonts w:ascii="Arial" w:cs="Arial" w:eastAsia="Arial" w:hAnsi="Arial"/>
          <w:sz w:val="15"/>
          <w:szCs w:val="15"/>
          <w:b w:val="1"/>
          <w:bCs w:val="1"/>
          <w:color w:val="auto"/>
        </w:rPr>
        <w:t>As of December 31, 2025, we had federal and state net operating loss, or NOL, carryforwards of $294.6 million and $351.1 million, respectively. The federal NOL carryforwards generated prior to 2018 and state NOL carryforwards, if not utilized, will expire beginning in 2035. Federal NOL carryforwards aggregating $290.2 million are not subject to expiration.The NOL carryforwards subject to expiration could expire unused and be unavailable to offset future income tax liabilities. The federal NOL carryforwards not subject to expiration are available to offset up to 80% of taxable income each year indefinitely. The state NOL carryforwards will begin to expire in 2035, unless previously utilized. As of December 31, 2025, we also had federal and state research credit carryforwards of $12.3 million and $7.0 million, respectively. The federal research and development tax credit carryforwards expire beginning in 2038 unless previously utilized, and the state research and development tax credit carryforwards do not expire. We have established valuation allowances against our NOLs and research and development credits due to the uncertainty surrounding the realization of these assets. We file tax returns in the U.S. and California. We are not currently under examination in any of these jurisdictions and all its tax years remain effectively open to examination due to NOL carryforwards.</w:t>
      </w:r>
    </w:p>
    <w:p>
      <w:pPr>
        <w:spacing w:after="0" w:line="200" w:lineRule="exact"/>
        <w:rPr>
          <w:sz w:val="20"/>
          <w:szCs w:val="20"/>
          <w:color w:val="auto"/>
        </w:rPr>
      </w:pPr>
    </w:p>
    <w:p>
      <w:pPr>
        <w:spacing w:after="0" w:line="223" w:lineRule="exact"/>
        <w:rPr>
          <w:sz w:val="20"/>
          <w:szCs w:val="20"/>
          <w:color w:val="auto"/>
        </w:rPr>
      </w:pPr>
    </w:p>
    <w:p>
      <w:pPr>
        <w:spacing w:after="0" w:line="252" w:lineRule="auto"/>
        <w:rPr>
          <w:sz w:val="20"/>
          <w:szCs w:val="20"/>
          <w:color w:val="auto"/>
        </w:rPr>
      </w:pPr>
      <w:r>
        <w:rPr>
          <w:rFonts w:ascii="Arial" w:cs="Arial" w:eastAsia="Arial" w:hAnsi="Arial"/>
          <w:sz w:val="19"/>
          <w:szCs w:val="19"/>
          <w:b w:val="1"/>
          <w:bCs w:val="1"/>
          <w:color w:val="auto"/>
        </w:rPr>
        <w:t>We have performed a Section 382 study as of September 30, 2023 and expect approximately $2.8 million of federal research and development credits and $51.0 million of California NOL carryforward to expire unused due to Section 382 limitations. Pursuant to Sections 382 and 383 of the Internal Revenue Code, annual use of our NOL and research and development tax credit carryforwards may be limited in the event a cumulative change in ownership of more than 50% occurs within a three-year period.</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51" w:lineRule="exact"/>
        <w:rPr>
          <w:sz w:val="20"/>
          <w:szCs w:val="20"/>
          <w:color w:val="auto"/>
        </w:rPr>
      </w:pPr>
    </w:p>
    <w:p>
      <w:pPr>
        <w:ind w:right="780"/>
        <w:spacing w:after="0" w:line="234" w:lineRule="auto"/>
        <w:rPr>
          <w:sz w:val="20"/>
          <w:szCs w:val="20"/>
          <w:color w:val="auto"/>
        </w:rPr>
      </w:pPr>
      <w:r>
        <w:rPr>
          <w:rFonts w:ascii="Arial" w:cs="Arial" w:eastAsia="Arial" w:hAnsi="Arial"/>
          <w:sz w:val="20"/>
          <w:szCs w:val="20"/>
          <w:b w:val="1"/>
          <w:bCs w:val="1"/>
          <w:color w:val="auto"/>
        </w:rPr>
        <w:t>As a “smaller reporting company” as defined by Item 10 of Regulation S-K, we are not required to provide this information.</w:t>
      </w:r>
    </w:p>
    <w:p>
      <w:pPr>
        <w:sectPr>
          <w:pgSz w:w="12240" w:h="15840" w:orient="portrait"/>
          <w:cols w:equalWidth="0" w:num="1">
            <w:col w:w="9680"/>
          </w:cols>
          <w:pgMar w:left="1260" w:top="1089" w:right="13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78</w:t>
      </w:r>
    </w:p>
    <w:p>
      <w:pPr>
        <w:sectPr>
          <w:pgSz w:w="12240" w:h="15840" w:orient="portrait"/>
          <w:cols w:equalWidth="0" w:num="1">
            <w:col w:w="9680"/>
          </w:cols>
          <w:pgMar w:left="1260" w:top="1089" w:right="1300" w:bottom="181" w:gutter="0" w:footer="0" w:header="0"/>
          <w:type w:val="continuous"/>
        </w:sectPr>
      </w:pPr>
    </w:p>
    <w:bookmarkStart w:id="118" w:name="page119"/>
    <w:bookmarkEnd w:id="118"/>
    <w:p>
      <w:pPr>
        <w:spacing w:after="0"/>
        <w:rPr>
          <w:sz w:val="20"/>
          <w:szCs w:val="20"/>
          <w:color w:val="auto"/>
        </w:rPr>
      </w:pPr>
      <w:r>
        <w:rPr>
          <w:rFonts w:ascii="Arial" w:cs="Arial" w:eastAsia="Arial" w:hAnsi="Arial"/>
          <w:sz w:val="20"/>
          <w:szCs w:val="20"/>
          <w:b w:val="1"/>
          <w:bCs w:val="1"/>
          <w:color w:val="auto"/>
        </w:rPr>
        <w:t>Item 8. Consolidated Financial Statements and Supplementary Data.</w:t>
      </w: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BOLT BIOTHERAPEUTICS, INC.</w:t>
      </w:r>
    </w:p>
    <w:p>
      <w:pPr>
        <w:jc w:val="center"/>
        <w:ind w:right="-179"/>
        <w:spacing w:after="0"/>
        <w:rPr>
          <w:sz w:val="20"/>
          <w:szCs w:val="20"/>
          <w:color w:val="auto"/>
        </w:rPr>
      </w:pPr>
      <w:r>
        <w:rPr>
          <w:rFonts w:ascii="Arial" w:cs="Arial" w:eastAsia="Arial" w:hAnsi="Arial"/>
          <w:sz w:val="20"/>
          <w:szCs w:val="20"/>
          <w:b w:val="1"/>
          <w:bCs w:val="1"/>
          <w:color w:val="auto"/>
        </w:rPr>
        <w:t>INDEX TO CONSOLIDATED FINANCIAL STATEMENTS</w:t>
      </w:r>
    </w:p>
    <w:p>
      <w:pPr>
        <w:spacing w:after="0" w:line="278"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7560" w:type="dxa"/>
            <w:vAlign w:val="bottom"/>
          </w:tcPr>
          <w:p>
            <w:pPr>
              <w:spacing w:after="0"/>
              <w:rPr>
                <w:sz w:val="16"/>
                <w:szCs w:val="16"/>
                <w:color w:val="auto"/>
              </w:rPr>
            </w:pPr>
          </w:p>
        </w:tc>
        <w:tc>
          <w:tcPr>
            <w:tcW w:w="840" w:type="dxa"/>
            <w:vAlign w:val="bottom"/>
          </w:tcPr>
          <w:p>
            <w:pPr>
              <w:jc w:val="right"/>
              <w:ind w:right="163"/>
              <w:spacing w:after="0"/>
              <w:rPr>
                <w:sz w:val="20"/>
                <w:szCs w:val="20"/>
                <w:color w:val="auto"/>
              </w:rPr>
            </w:pPr>
            <w:r>
              <w:rPr>
                <w:rFonts w:ascii="Arial" w:cs="Arial" w:eastAsia="Arial" w:hAnsi="Arial"/>
                <w:sz w:val="16"/>
                <w:szCs w:val="16"/>
                <w:b w:val="1"/>
                <w:bCs w:val="1"/>
                <w:color w:val="auto"/>
              </w:rPr>
              <w:t>Page</w:t>
            </w:r>
          </w:p>
        </w:tc>
      </w:tr>
      <w:tr>
        <w:trPr>
          <w:trHeight w:val="28"/>
        </w:trPr>
        <w:tc>
          <w:tcPr>
            <w:tcW w:w="75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4"/>
        </w:trPr>
        <w:tc>
          <w:tcPr>
            <w:tcW w:w="7560" w:type="dxa"/>
            <w:vAlign w:val="bottom"/>
          </w:tcPr>
          <w:p>
            <w:pPr>
              <w:spacing w:after="0"/>
              <w:rPr>
                <w:sz w:val="20"/>
                <w:szCs w:val="20"/>
                <w:color w:val="auto"/>
              </w:rPr>
            </w:pPr>
            <w:r>
              <w:rPr>
                <w:rFonts w:ascii="Arial" w:cs="Arial" w:eastAsia="Arial" w:hAnsi="Arial"/>
                <w:sz w:val="20"/>
                <w:szCs w:val="20"/>
                <w:b w:val="1"/>
                <w:bCs w:val="1"/>
                <w:color w:val="auto"/>
              </w:rPr>
              <w:t>Report of Independent Registered Public Accounting Firm (PCAOB ID 238)</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76"/>
        </w:trPr>
        <w:tc>
          <w:tcPr>
            <w:tcW w:w="7560" w:type="dxa"/>
            <w:vAlign w:val="bottom"/>
          </w:tcPr>
          <w:p>
            <w:pPr>
              <w:spacing w:after="0"/>
              <w:rPr>
                <w:sz w:val="20"/>
                <w:szCs w:val="20"/>
                <w:color w:val="auto"/>
              </w:rPr>
            </w:pPr>
            <w:r>
              <w:rPr>
                <w:rFonts w:ascii="Arial" w:cs="Arial" w:eastAsia="Arial" w:hAnsi="Arial"/>
                <w:sz w:val="20"/>
                <w:szCs w:val="20"/>
                <w:b w:val="1"/>
                <w:bCs w:val="1"/>
                <w:color w:val="auto"/>
              </w:rPr>
              <w:t>Consolidated Balance Sheets</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81</w:t>
            </w:r>
          </w:p>
        </w:tc>
      </w:tr>
      <w:tr>
        <w:trPr>
          <w:trHeight w:val="276"/>
        </w:trPr>
        <w:tc>
          <w:tcPr>
            <w:tcW w:w="7560" w:type="dxa"/>
            <w:vAlign w:val="bottom"/>
          </w:tcPr>
          <w:p>
            <w:pPr>
              <w:spacing w:after="0"/>
              <w:rPr>
                <w:sz w:val="20"/>
                <w:szCs w:val="20"/>
                <w:color w:val="auto"/>
              </w:rPr>
            </w:pPr>
            <w:r>
              <w:rPr>
                <w:rFonts w:ascii="Arial" w:cs="Arial" w:eastAsia="Arial" w:hAnsi="Arial"/>
                <w:sz w:val="20"/>
                <w:szCs w:val="20"/>
                <w:b w:val="1"/>
                <w:bCs w:val="1"/>
                <w:color w:val="auto"/>
              </w:rPr>
              <w:t>Consolidated Statements of Operations and Comprehensive Loss</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82</w:t>
            </w:r>
          </w:p>
        </w:tc>
      </w:tr>
      <w:tr>
        <w:trPr>
          <w:trHeight w:val="276"/>
        </w:trPr>
        <w:tc>
          <w:tcPr>
            <w:tcW w:w="7560" w:type="dxa"/>
            <w:vAlign w:val="bottom"/>
          </w:tcPr>
          <w:p>
            <w:pPr>
              <w:spacing w:after="0"/>
              <w:rPr>
                <w:sz w:val="20"/>
                <w:szCs w:val="20"/>
                <w:color w:val="auto"/>
              </w:rPr>
            </w:pPr>
            <w:r>
              <w:rPr>
                <w:rFonts w:ascii="Arial" w:cs="Arial" w:eastAsia="Arial" w:hAnsi="Arial"/>
                <w:sz w:val="20"/>
                <w:szCs w:val="20"/>
                <w:b w:val="1"/>
                <w:bCs w:val="1"/>
                <w:color w:val="auto"/>
              </w:rPr>
              <w:t>Consolidated Statements of Stockholders’ Equity</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83</w:t>
            </w:r>
          </w:p>
        </w:tc>
      </w:tr>
      <w:tr>
        <w:trPr>
          <w:trHeight w:val="276"/>
        </w:trPr>
        <w:tc>
          <w:tcPr>
            <w:tcW w:w="7560" w:type="dxa"/>
            <w:vAlign w:val="bottom"/>
          </w:tcPr>
          <w:p>
            <w:pPr>
              <w:spacing w:after="0"/>
              <w:rPr>
                <w:sz w:val="20"/>
                <w:szCs w:val="20"/>
                <w:color w:val="auto"/>
              </w:rPr>
            </w:pPr>
            <w:r>
              <w:rPr>
                <w:rFonts w:ascii="Arial" w:cs="Arial" w:eastAsia="Arial" w:hAnsi="Arial"/>
                <w:sz w:val="20"/>
                <w:szCs w:val="20"/>
                <w:b w:val="1"/>
                <w:bCs w:val="1"/>
                <w:color w:val="auto"/>
              </w:rPr>
              <w:t>Consolidated Statements of Cash Flows</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84</w:t>
            </w:r>
          </w:p>
        </w:tc>
      </w:tr>
      <w:tr>
        <w:trPr>
          <w:trHeight w:val="276"/>
        </w:trPr>
        <w:tc>
          <w:tcPr>
            <w:tcW w:w="7560" w:type="dxa"/>
            <w:vAlign w:val="bottom"/>
          </w:tcPr>
          <w:p>
            <w:pPr>
              <w:spacing w:after="0"/>
              <w:rPr>
                <w:sz w:val="20"/>
                <w:szCs w:val="20"/>
                <w:color w:val="auto"/>
              </w:rPr>
            </w:pPr>
            <w:r>
              <w:rPr>
                <w:rFonts w:ascii="Arial" w:cs="Arial" w:eastAsia="Arial" w:hAnsi="Arial"/>
                <w:sz w:val="20"/>
                <w:szCs w:val="20"/>
                <w:b w:val="1"/>
                <w:bCs w:val="1"/>
                <w:color w:val="auto"/>
              </w:rPr>
              <w:t>Notes to the Consolidated Financial Statements</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85</w:t>
            </w:r>
          </w:p>
        </w:tc>
      </w:tr>
    </w:tbl>
    <w:p>
      <w:pPr>
        <w:spacing w:after="0" w:line="200" w:lineRule="exact"/>
        <w:rPr>
          <w:sz w:val="20"/>
          <w:szCs w:val="20"/>
          <w:color w:val="auto"/>
        </w:rPr>
      </w:pPr>
    </w:p>
    <w:p>
      <w:pPr>
        <w:sectPr>
          <w:pgSz w:w="12240" w:h="15840" w:orient="portrait"/>
          <w:cols w:equalWidth="0" w:num="1">
            <w:col w:w="9540"/>
          </w:cols>
          <w:pgMar w:left="1260" w:top="107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79</w:t>
      </w:r>
    </w:p>
    <w:p>
      <w:pPr>
        <w:sectPr>
          <w:pgSz w:w="12240" w:h="15840" w:orient="portrait"/>
          <w:cols w:equalWidth="0" w:num="1">
            <w:col w:w="9540"/>
          </w:cols>
          <w:pgMar w:left="1260" w:top="1079" w:right="1440" w:bottom="181" w:gutter="0" w:footer="0" w:header="0"/>
          <w:type w:val="continuous"/>
        </w:sectPr>
      </w:pPr>
    </w:p>
    <w:bookmarkStart w:id="119" w:name="page120"/>
    <w:bookmarkEnd w:id="119"/>
    <w:p>
      <w:pPr>
        <w:jc w:val="center"/>
        <w:ind w:right="-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Board of Directors and Stockholders of Bolt Biotherapeutics, Inc.</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10"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color w:val="auto"/>
        </w:rPr>
        <w:t>We have audited the accompanying consolidated balance sheets of Bolt Biotherapeutics, Inc. and its subsidiary (the "Company") as of December 31, 2025 and 2024, and the related consolidated statements of operations and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Substantial Doubt About the Company's Ability to Continue as a Going Concern</w:t>
      </w:r>
    </w:p>
    <w:p>
      <w:pPr>
        <w:spacing w:after="0" w:line="210" w:lineRule="exact"/>
        <w:rPr>
          <w:sz w:val="20"/>
          <w:szCs w:val="20"/>
          <w:color w:val="auto"/>
        </w:rPr>
      </w:pPr>
    </w:p>
    <w:p>
      <w:pPr>
        <w:ind w:right="60"/>
        <w:spacing w:after="0" w:line="333" w:lineRule="auto"/>
        <w:rPr>
          <w:sz w:val="20"/>
          <w:szCs w:val="20"/>
          <w:color w:val="auto"/>
        </w:rPr>
      </w:pPr>
      <w:r>
        <w:rPr>
          <w:rFonts w:ascii="Arial" w:cs="Arial" w:eastAsia="Arial" w:hAnsi="Arial"/>
          <w:sz w:val="15"/>
          <w:szCs w:val="15"/>
          <w:b w:val="1"/>
          <w:bCs w:val="1"/>
          <w:color w:val="auto"/>
        </w:rPr>
        <w:t>The accompanying consolidated financial statements have been prepared assuming that the Company will continue as a going concern. As discussed in Note 2 to the consolidated financial statements, the Company has incurred net losses and negative cash flows from operations since inception, has an accumulated deficit and anticipates continuing to incur net operating losses and negative cash flows from operations for the foreseeable future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10"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b w:val="1"/>
          <w:bCs w:val="1"/>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PricewaterhouseCoopers LLP</w:t>
      </w:r>
    </w:p>
    <w:p>
      <w:pPr>
        <w:spacing w:after="0"/>
        <w:rPr>
          <w:sz w:val="20"/>
          <w:szCs w:val="20"/>
          <w:color w:val="auto"/>
        </w:rPr>
      </w:pPr>
      <w:r>
        <w:rPr>
          <w:rFonts w:ascii="Arial" w:cs="Arial" w:eastAsia="Arial" w:hAnsi="Arial"/>
          <w:sz w:val="20"/>
          <w:szCs w:val="20"/>
          <w:b w:val="1"/>
          <w:bCs w:val="1"/>
          <w:color w:val="auto"/>
        </w:rPr>
        <w:t>San Jose, California</w:t>
      </w:r>
    </w:p>
    <w:p>
      <w:pPr>
        <w:spacing w:after="0"/>
        <w:rPr>
          <w:sz w:val="20"/>
          <w:szCs w:val="20"/>
          <w:color w:val="auto"/>
        </w:rPr>
      </w:pPr>
      <w:r>
        <w:rPr>
          <w:rFonts w:ascii="Arial" w:cs="Arial" w:eastAsia="Arial" w:hAnsi="Arial"/>
          <w:sz w:val="20"/>
          <w:szCs w:val="20"/>
          <w:b w:val="1"/>
          <w:bCs w:val="1"/>
          <w:color w:val="auto"/>
        </w:rPr>
        <w:t>March 12, 2026</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have served as the Company’s auditor since 2019.</w:t>
      </w:r>
    </w:p>
    <w:p>
      <w:pPr>
        <w:sectPr>
          <w:pgSz w:w="12240" w:h="15840" w:orient="portrait"/>
          <w:cols w:equalWidth="0" w:num="1">
            <w:col w:w="9700"/>
          </w:cols>
          <w:pgMar w:left="1260" w:top="107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80</w:t>
      </w:r>
    </w:p>
    <w:p>
      <w:pPr>
        <w:sectPr>
          <w:pgSz w:w="12240" w:h="15840" w:orient="portrait"/>
          <w:cols w:equalWidth="0" w:num="1">
            <w:col w:w="9700"/>
          </w:cols>
          <w:pgMar w:left="1260" w:top="1079" w:right="1280" w:bottom="181"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20"/>
          <w:szCs w:val="20"/>
          <w:b w:val="1"/>
          <w:bCs w:val="1"/>
          <w:color w:val="auto"/>
        </w:rPr>
        <w:t>BOLT BIOTHERAPEUTICS, INC.</w:t>
      </w:r>
    </w:p>
    <w:p>
      <w:pPr>
        <w:jc w:val="center"/>
        <w:ind w:right="-19"/>
        <w:spacing w:after="0"/>
        <w:rPr>
          <w:sz w:val="20"/>
          <w:szCs w:val="20"/>
          <w:color w:val="auto"/>
        </w:rPr>
      </w:pPr>
      <w:r>
        <w:rPr>
          <w:rFonts w:ascii="Arial" w:cs="Arial" w:eastAsia="Arial" w:hAnsi="Arial"/>
          <w:sz w:val="20"/>
          <w:szCs w:val="20"/>
          <w:b w:val="1"/>
          <w:bCs w:val="1"/>
          <w:color w:val="auto"/>
        </w:rPr>
        <w:t>CONSOLIDATED BALANCE SHEETS</w:t>
      </w:r>
    </w:p>
    <w:p>
      <w:pPr>
        <w:jc w:val="center"/>
        <w:ind w:right="-19"/>
        <w:spacing w:after="0" w:line="237" w:lineRule="auto"/>
        <w:rPr>
          <w:sz w:val="20"/>
          <w:szCs w:val="20"/>
          <w:color w:val="auto"/>
        </w:rPr>
      </w:pPr>
      <w:r>
        <w:rPr>
          <w:rFonts w:ascii="Arial" w:cs="Arial" w:eastAsia="Arial" w:hAnsi="Arial"/>
          <w:sz w:val="20"/>
          <w:szCs w:val="20"/>
          <w:b w:val="1"/>
          <w:bCs w:val="1"/>
          <w:color w:val="auto"/>
        </w:rPr>
        <w:t>(in thousands, except share and per share amounts)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6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6"/>
                <w:szCs w:val="16"/>
                <w:color w:val="auto"/>
              </w:rPr>
            </w:pPr>
          </w:p>
        </w:tc>
      </w:tr>
      <w:tr>
        <w:trPr>
          <w:trHeight w:val="217"/>
        </w:trPr>
        <w:tc>
          <w:tcPr>
            <w:tcW w:w="65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1"/>
        </w:trPr>
        <w:tc>
          <w:tcPr>
            <w:tcW w:w="65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11,703</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7,205</w:t>
            </w:r>
          </w:p>
        </w:tc>
        <w:tc>
          <w:tcPr>
            <w:tcW w:w="60" w:type="dxa"/>
            <w:vAlign w:val="bottom"/>
          </w:tcPr>
          <w:p>
            <w:pPr>
              <w:spacing w:after="0"/>
              <w:rPr>
                <w:sz w:val="19"/>
                <w:szCs w:val="19"/>
                <w:color w:val="auto"/>
              </w:rPr>
            </w:pPr>
          </w:p>
        </w:tc>
      </w:tr>
      <w:tr>
        <w:trPr>
          <w:trHeight w:val="221"/>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Short-term investments</w:t>
            </w:r>
          </w:p>
        </w:tc>
        <w:tc>
          <w:tcPr>
            <w:tcW w:w="3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15,802</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40,118</w:t>
            </w:r>
          </w:p>
        </w:tc>
        <w:tc>
          <w:tcPr>
            <w:tcW w:w="60" w:type="dxa"/>
            <w:vAlign w:val="bottom"/>
          </w:tcPr>
          <w:p>
            <w:pPr>
              <w:spacing w:after="0"/>
              <w:rPr>
                <w:sz w:val="19"/>
                <w:szCs w:val="19"/>
                <w:color w:val="auto"/>
              </w:rPr>
            </w:pPr>
          </w:p>
        </w:tc>
      </w:tr>
      <w:tr>
        <w:trPr>
          <w:trHeight w:val="221"/>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Restricted cash</w:t>
            </w:r>
          </w:p>
        </w:tc>
        <w:tc>
          <w:tcPr>
            <w:tcW w:w="3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784</w:t>
            </w:r>
          </w:p>
        </w:tc>
        <w:tc>
          <w:tcPr>
            <w:tcW w:w="60" w:type="dxa"/>
            <w:vAlign w:val="bottom"/>
          </w:tcPr>
          <w:p>
            <w:pPr>
              <w:spacing w:after="0"/>
              <w:rPr>
                <w:sz w:val="19"/>
                <w:szCs w:val="19"/>
                <w:color w:val="auto"/>
              </w:rPr>
            </w:pPr>
          </w:p>
        </w:tc>
      </w:tr>
      <w:tr>
        <w:trPr>
          <w:trHeight w:val="221"/>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2,555</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2,707</w:t>
            </w:r>
          </w:p>
        </w:tc>
        <w:tc>
          <w:tcPr>
            <w:tcW w:w="60" w:type="dxa"/>
            <w:vAlign w:val="bottom"/>
          </w:tcPr>
          <w:p>
            <w:pPr>
              <w:spacing w:after="0"/>
              <w:rPr>
                <w:sz w:val="19"/>
                <w:szCs w:val="19"/>
                <w:color w:val="auto"/>
              </w:rPr>
            </w:pPr>
          </w:p>
        </w:tc>
      </w:tr>
      <w:tr>
        <w:trPr>
          <w:trHeight w:val="215"/>
        </w:trPr>
        <w:tc>
          <w:tcPr>
            <w:tcW w:w="65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30,260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50,814</w:t>
            </w:r>
          </w:p>
        </w:tc>
        <w:tc>
          <w:tcPr>
            <w:tcW w:w="60" w:type="dxa"/>
            <w:vAlign w:val="bottom"/>
          </w:tcPr>
          <w:p>
            <w:pPr>
              <w:spacing w:after="0"/>
              <w:rPr>
                <w:sz w:val="18"/>
                <w:szCs w:val="18"/>
                <w:color w:val="auto"/>
              </w:rPr>
            </w:pPr>
          </w:p>
        </w:tc>
      </w:tr>
      <w:tr>
        <w:trPr>
          <w:trHeight w:val="221"/>
        </w:trPr>
        <w:tc>
          <w:tcPr>
            <w:tcW w:w="658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3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1,245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3,139</w:t>
            </w:r>
          </w:p>
        </w:tc>
        <w:tc>
          <w:tcPr>
            <w:tcW w:w="60" w:type="dxa"/>
            <w:vAlign w:val="bottom"/>
          </w:tcPr>
          <w:p>
            <w:pPr>
              <w:spacing w:after="0"/>
              <w:rPr>
                <w:sz w:val="19"/>
                <w:szCs w:val="19"/>
                <w:color w:val="auto"/>
              </w:rPr>
            </w:pPr>
          </w:p>
        </w:tc>
      </w:tr>
      <w:tr>
        <w:trPr>
          <w:trHeight w:val="221"/>
        </w:trPr>
        <w:tc>
          <w:tcPr>
            <w:tcW w:w="6580" w:type="dxa"/>
            <w:vAlign w:val="bottom"/>
          </w:tcPr>
          <w:p>
            <w:pPr>
              <w:spacing w:after="0"/>
              <w:rPr>
                <w:sz w:val="20"/>
                <w:szCs w:val="20"/>
                <w:color w:val="auto"/>
              </w:rPr>
            </w:pPr>
            <w:r>
              <w:rPr>
                <w:rFonts w:ascii="Arial" w:cs="Arial" w:eastAsia="Arial" w:hAnsi="Arial"/>
                <w:sz w:val="18"/>
                <w:szCs w:val="18"/>
                <w:b w:val="1"/>
                <w:bCs w:val="1"/>
                <w:color w:val="auto"/>
              </w:rPr>
              <w:t>Operating lease right-of-use assets</w:t>
            </w:r>
          </w:p>
        </w:tc>
        <w:tc>
          <w:tcPr>
            <w:tcW w:w="3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19,230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21,756</w:t>
            </w:r>
          </w:p>
        </w:tc>
        <w:tc>
          <w:tcPr>
            <w:tcW w:w="60" w:type="dxa"/>
            <w:vAlign w:val="bottom"/>
          </w:tcPr>
          <w:p>
            <w:pPr>
              <w:spacing w:after="0"/>
              <w:rPr>
                <w:sz w:val="19"/>
                <w:szCs w:val="19"/>
                <w:color w:val="auto"/>
              </w:rPr>
            </w:pPr>
          </w:p>
        </w:tc>
      </w:tr>
      <w:tr>
        <w:trPr>
          <w:trHeight w:val="221"/>
        </w:trPr>
        <w:tc>
          <w:tcPr>
            <w:tcW w:w="6580" w:type="dxa"/>
            <w:vAlign w:val="bottom"/>
          </w:tcPr>
          <w:p>
            <w:pPr>
              <w:spacing w:after="0"/>
              <w:rPr>
                <w:sz w:val="20"/>
                <w:szCs w:val="20"/>
                <w:color w:val="auto"/>
              </w:rPr>
            </w:pPr>
            <w:r>
              <w:rPr>
                <w:rFonts w:ascii="Arial" w:cs="Arial" w:eastAsia="Arial" w:hAnsi="Arial"/>
                <w:sz w:val="18"/>
                <w:szCs w:val="18"/>
                <w:b w:val="1"/>
                <w:bCs w:val="1"/>
                <w:color w:val="auto"/>
              </w:rPr>
              <w:t>Restricted cash, non-current</w:t>
            </w:r>
          </w:p>
        </w:tc>
        <w:tc>
          <w:tcPr>
            <w:tcW w:w="3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1,538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981</w:t>
            </w:r>
          </w:p>
        </w:tc>
        <w:tc>
          <w:tcPr>
            <w:tcW w:w="60" w:type="dxa"/>
            <w:vAlign w:val="bottom"/>
          </w:tcPr>
          <w:p>
            <w:pPr>
              <w:spacing w:after="0"/>
              <w:rPr>
                <w:sz w:val="19"/>
                <w:szCs w:val="19"/>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color w:val="auto"/>
              </w:rPr>
              <w:t>Long-term investments</w:t>
            </w:r>
          </w:p>
        </w:tc>
        <w:tc>
          <w:tcPr>
            <w:tcW w:w="3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4,337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22,880</w:t>
            </w:r>
          </w:p>
        </w:tc>
        <w:tc>
          <w:tcPr>
            <w:tcW w:w="60" w:type="dxa"/>
            <w:vAlign w:val="bottom"/>
          </w:tcPr>
          <w:p>
            <w:pPr>
              <w:spacing w:after="0"/>
              <w:rPr>
                <w:sz w:val="19"/>
                <w:szCs w:val="19"/>
                <w:color w:val="auto"/>
              </w:rPr>
            </w:pPr>
          </w:p>
        </w:tc>
      </w:tr>
      <w:tr>
        <w:trPr>
          <w:trHeight w:val="221"/>
        </w:trPr>
        <w:tc>
          <w:tcPr>
            <w:tcW w:w="658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138</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60" w:type="dxa"/>
            <w:vAlign w:val="bottom"/>
          </w:tcPr>
          <w:p>
            <w:pPr>
              <w:spacing w:after="0"/>
              <w:rPr>
                <w:sz w:val="19"/>
                <w:szCs w:val="19"/>
                <w:color w:val="auto"/>
              </w:rPr>
            </w:pPr>
          </w:p>
        </w:tc>
      </w:tr>
      <w:tr>
        <w:trPr>
          <w:trHeight w:val="215"/>
        </w:trPr>
        <w:tc>
          <w:tcPr>
            <w:tcW w:w="65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56,748</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99,632</w:t>
            </w:r>
          </w:p>
        </w:tc>
        <w:tc>
          <w:tcPr>
            <w:tcW w:w="60" w:type="dxa"/>
            <w:vAlign w:val="bottom"/>
          </w:tcPr>
          <w:p>
            <w:pPr>
              <w:spacing w:after="0"/>
              <w:rPr>
                <w:sz w:val="18"/>
                <w:szCs w:val="18"/>
                <w:color w:val="auto"/>
              </w:rPr>
            </w:pPr>
          </w:p>
        </w:tc>
      </w:tr>
      <w:tr>
        <w:trPr>
          <w:trHeight w:val="487"/>
        </w:trPr>
        <w:tc>
          <w:tcPr>
            <w:tcW w:w="65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1"/>
        </w:trPr>
        <w:tc>
          <w:tcPr>
            <w:tcW w:w="65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1,443</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1,507</w:t>
            </w:r>
          </w:p>
        </w:tc>
        <w:tc>
          <w:tcPr>
            <w:tcW w:w="60" w:type="dxa"/>
            <w:vAlign w:val="bottom"/>
          </w:tcPr>
          <w:p>
            <w:pPr>
              <w:spacing w:after="0"/>
              <w:rPr>
                <w:sz w:val="19"/>
                <w:szCs w:val="19"/>
                <w:color w:val="auto"/>
              </w:rPr>
            </w:pPr>
          </w:p>
        </w:tc>
      </w:tr>
      <w:tr>
        <w:trPr>
          <w:trHeight w:val="221"/>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3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3,717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9,083</w:t>
            </w:r>
          </w:p>
        </w:tc>
        <w:tc>
          <w:tcPr>
            <w:tcW w:w="60" w:type="dxa"/>
            <w:vAlign w:val="bottom"/>
          </w:tcPr>
          <w:p>
            <w:pPr>
              <w:spacing w:after="0"/>
              <w:rPr>
                <w:sz w:val="19"/>
                <w:szCs w:val="19"/>
                <w:color w:val="auto"/>
              </w:rPr>
            </w:pPr>
          </w:p>
        </w:tc>
      </w:tr>
      <w:tr>
        <w:trPr>
          <w:trHeight w:val="221"/>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Deferred revenue</w:t>
            </w:r>
          </w:p>
        </w:tc>
        <w:tc>
          <w:tcPr>
            <w:tcW w:w="3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449</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3,015</w:t>
            </w:r>
          </w:p>
        </w:tc>
        <w:tc>
          <w:tcPr>
            <w:tcW w:w="60" w:type="dxa"/>
            <w:vAlign w:val="bottom"/>
          </w:tcPr>
          <w:p>
            <w:pPr>
              <w:spacing w:after="0"/>
              <w:rPr>
                <w:sz w:val="19"/>
                <w:szCs w:val="19"/>
                <w:color w:val="auto"/>
              </w:rPr>
            </w:pPr>
          </w:p>
        </w:tc>
      </w:tr>
      <w:tr>
        <w:trPr>
          <w:trHeight w:val="221"/>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Operating lease liabilities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2,826</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2,251</w:t>
            </w:r>
          </w:p>
        </w:tc>
        <w:tc>
          <w:tcPr>
            <w:tcW w:w="60" w:type="dxa"/>
            <w:vAlign w:val="bottom"/>
          </w:tcPr>
          <w:p>
            <w:pPr>
              <w:spacing w:after="0"/>
              <w:rPr>
                <w:sz w:val="19"/>
                <w:szCs w:val="19"/>
                <w:color w:val="auto"/>
              </w:rPr>
            </w:pPr>
          </w:p>
        </w:tc>
      </w:tr>
      <w:tr>
        <w:trPr>
          <w:trHeight w:val="215"/>
        </w:trPr>
        <w:tc>
          <w:tcPr>
            <w:tcW w:w="658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8,435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15,856</w:t>
            </w:r>
          </w:p>
        </w:tc>
        <w:tc>
          <w:tcPr>
            <w:tcW w:w="60" w:type="dxa"/>
            <w:vAlign w:val="bottom"/>
          </w:tcPr>
          <w:p>
            <w:pPr>
              <w:spacing w:after="0"/>
              <w:rPr>
                <w:sz w:val="18"/>
                <w:szCs w:val="18"/>
                <w:color w:val="auto"/>
              </w:rPr>
            </w:pPr>
          </w:p>
        </w:tc>
      </w:tr>
      <w:tr>
        <w:trPr>
          <w:trHeight w:val="221"/>
        </w:trPr>
        <w:tc>
          <w:tcPr>
            <w:tcW w:w="6580" w:type="dxa"/>
            <w:vAlign w:val="bottom"/>
          </w:tcPr>
          <w:p>
            <w:pPr>
              <w:spacing w:after="0"/>
              <w:rPr>
                <w:sz w:val="20"/>
                <w:szCs w:val="20"/>
                <w:color w:val="auto"/>
              </w:rPr>
            </w:pPr>
            <w:r>
              <w:rPr>
                <w:rFonts w:ascii="Arial" w:cs="Arial" w:eastAsia="Arial" w:hAnsi="Arial"/>
                <w:sz w:val="18"/>
                <w:szCs w:val="18"/>
                <w:b w:val="1"/>
                <w:bCs w:val="1"/>
                <w:color w:val="auto"/>
              </w:rPr>
              <w:t>Operating lease liabilities, net of current portion</w:t>
            </w:r>
          </w:p>
        </w:tc>
        <w:tc>
          <w:tcPr>
            <w:tcW w:w="3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20,132</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22,958</w:t>
            </w:r>
          </w:p>
        </w:tc>
        <w:tc>
          <w:tcPr>
            <w:tcW w:w="60" w:type="dxa"/>
            <w:vAlign w:val="bottom"/>
          </w:tcPr>
          <w:p>
            <w:pPr>
              <w:spacing w:after="0"/>
              <w:rPr>
                <w:sz w:val="19"/>
                <w:szCs w:val="19"/>
                <w:color w:val="auto"/>
              </w:rPr>
            </w:pPr>
          </w:p>
        </w:tc>
      </w:tr>
      <w:tr>
        <w:trPr>
          <w:trHeight w:val="221"/>
        </w:trPr>
        <w:tc>
          <w:tcPr>
            <w:tcW w:w="6580" w:type="dxa"/>
            <w:vAlign w:val="bottom"/>
          </w:tcPr>
          <w:p>
            <w:pPr>
              <w:spacing w:after="0"/>
              <w:rPr>
                <w:sz w:val="20"/>
                <w:szCs w:val="20"/>
                <w:color w:val="auto"/>
              </w:rPr>
            </w:pPr>
            <w:r>
              <w:rPr>
                <w:rFonts w:ascii="Arial" w:cs="Arial" w:eastAsia="Arial" w:hAnsi="Arial"/>
                <w:sz w:val="18"/>
                <w:szCs w:val="18"/>
                <w:b w:val="1"/>
                <w:bCs w:val="1"/>
                <w:color w:val="auto"/>
              </w:rPr>
              <w:t>Deferred revenue, non-current</w:t>
            </w:r>
          </w:p>
        </w:tc>
        <w:tc>
          <w:tcPr>
            <w:tcW w:w="3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1,544</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3,620</w:t>
            </w:r>
          </w:p>
        </w:tc>
        <w:tc>
          <w:tcPr>
            <w:tcW w:w="60" w:type="dxa"/>
            <w:vAlign w:val="bottom"/>
          </w:tcPr>
          <w:p>
            <w:pPr>
              <w:spacing w:after="0"/>
              <w:rPr>
                <w:sz w:val="19"/>
                <w:szCs w:val="19"/>
                <w:color w:val="auto"/>
              </w:rPr>
            </w:pPr>
          </w:p>
        </w:tc>
      </w:tr>
      <w:tr>
        <w:trPr>
          <w:trHeight w:val="221"/>
        </w:trPr>
        <w:tc>
          <w:tcPr>
            <w:tcW w:w="6580" w:type="dxa"/>
            <w:vAlign w:val="bottom"/>
          </w:tcPr>
          <w:p>
            <w:pPr>
              <w:spacing w:after="0"/>
              <w:rPr>
                <w:sz w:val="20"/>
                <w:szCs w:val="20"/>
                <w:color w:val="auto"/>
              </w:rPr>
            </w:pPr>
            <w:r>
              <w:rPr>
                <w:rFonts w:ascii="Arial" w:cs="Arial" w:eastAsia="Arial" w:hAnsi="Arial"/>
                <w:sz w:val="18"/>
                <w:szCs w:val="18"/>
                <w:b w:val="1"/>
                <w:bCs w:val="1"/>
                <w:color w:val="auto"/>
              </w:rPr>
              <w:t>Other long-term liabilities</w:t>
            </w:r>
          </w:p>
        </w:tc>
        <w:tc>
          <w:tcPr>
            <w:tcW w:w="3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132</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r>
      <w:tr>
        <w:trPr>
          <w:trHeight w:val="217"/>
        </w:trPr>
        <w:tc>
          <w:tcPr>
            <w:tcW w:w="65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30,243</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42,434</w:t>
            </w:r>
          </w:p>
        </w:tc>
        <w:tc>
          <w:tcPr>
            <w:tcW w:w="60" w:type="dxa"/>
            <w:vAlign w:val="bottom"/>
          </w:tcPr>
          <w:p>
            <w:pPr>
              <w:spacing w:after="0"/>
              <w:rPr>
                <w:sz w:val="18"/>
                <w:szCs w:val="18"/>
                <w:color w:val="auto"/>
              </w:rPr>
            </w:pPr>
          </w:p>
        </w:tc>
      </w:tr>
      <w:tr>
        <w:trPr>
          <w:trHeight w:val="215"/>
        </w:trPr>
        <w:tc>
          <w:tcPr>
            <w:tcW w:w="65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6)</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1"/>
        </w:trPr>
        <w:tc>
          <w:tcPr>
            <w:tcW w:w="65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6580" w:type="dxa"/>
            <w:vAlign w:val="bottom"/>
          </w:tcPr>
          <w:p>
            <w:pPr>
              <w:spacing w:after="0"/>
              <w:rPr>
                <w:sz w:val="20"/>
                <w:szCs w:val="20"/>
                <w:color w:val="auto"/>
              </w:rPr>
            </w:pPr>
            <w:r>
              <w:rPr>
                <w:rFonts w:ascii="Arial" w:cs="Arial" w:eastAsia="Arial" w:hAnsi="Arial"/>
                <w:sz w:val="18"/>
                <w:szCs w:val="18"/>
                <w:b w:val="1"/>
                <w:bCs w:val="1"/>
                <w:color w:val="auto"/>
                <w:w w:val="92"/>
              </w:rPr>
              <w:t>Common stock, $0.00001 par value; 200,000,000 shares authorized at December 31,</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6"/>
        </w:trPr>
        <w:tc>
          <w:tcPr>
            <w:tcW w:w="6580" w:type="dxa"/>
            <w:vAlign w:val="bottom"/>
          </w:tcPr>
          <w:p>
            <w:pPr>
              <w:spacing w:after="0"/>
              <w:rPr>
                <w:sz w:val="20"/>
                <w:szCs w:val="20"/>
                <w:color w:val="auto"/>
              </w:rPr>
            </w:pPr>
            <w:r>
              <w:rPr>
                <w:rFonts w:ascii="Arial" w:cs="Arial" w:eastAsia="Arial" w:hAnsi="Arial"/>
                <w:sz w:val="18"/>
                <w:szCs w:val="18"/>
                <w:b w:val="1"/>
                <w:bCs w:val="1"/>
                <w:color w:val="auto"/>
                <w:w w:val="87"/>
              </w:rPr>
              <w:t>2025 and 2024; 1,920,566 and 1,916,943 shares issued and outstanding at December 31,</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6580" w:type="dxa"/>
            <w:vAlign w:val="bottom"/>
          </w:tcPr>
          <w:p>
            <w:pPr>
              <w:spacing w:after="0"/>
              <w:rPr>
                <w:sz w:val="20"/>
                <w:szCs w:val="20"/>
                <w:color w:val="auto"/>
              </w:rPr>
            </w:pPr>
            <w:r>
              <w:rPr>
                <w:rFonts w:ascii="Arial" w:cs="Arial" w:eastAsia="Arial" w:hAnsi="Arial"/>
                <w:sz w:val="18"/>
                <w:szCs w:val="18"/>
                <w:b w:val="1"/>
                <w:bCs w:val="1"/>
                <w:color w:val="auto"/>
              </w:rPr>
              <w:t>2025 and 2024, respectively</w:t>
            </w:r>
          </w:p>
        </w:tc>
        <w:tc>
          <w:tcPr>
            <w:tcW w:w="320" w:type="dxa"/>
            <w:vAlign w:val="bottom"/>
          </w:tcPr>
          <w:p>
            <w:pPr>
              <w:spacing w:after="0"/>
              <w:rPr>
                <w:sz w:val="17"/>
                <w:szCs w:val="17"/>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r>
      <w:tr>
        <w:trPr>
          <w:trHeight w:val="221"/>
        </w:trPr>
        <w:tc>
          <w:tcPr>
            <w:tcW w:w="6580" w:type="dxa"/>
            <w:vAlign w:val="bottom"/>
          </w:tcPr>
          <w:p>
            <w:pPr>
              <w:spacing w:after="0"/>
              <w:rPr>
                <w:sz w:val="20"/>
                <w:szCs w:val="20"/>
                <w:color w:val="auto"/>
              </w:rPr>
            </w:pPr>
            <w:r>
              <w:rPr>
                <w:rFonts w:ascii="Arial" w:cs="Arial" w:eastAsia="Arial" w:hAnsi="Arial"/>
                <w:sz w:val="18"/>
                <w:szCs w:val="18"/>
                <w:b w:val="1"/>
                <w:bCs w:val="1"/>
                <w:color w:val="auto"/>
              </w:rPr>
              <w:t>Additional paid-in capital</w:t>
            </w:r>
          </w:p>
        </w:tc>
        <w:tc>
          <w:tcPr>
            <w:tcW w:w="3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487,305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484,504</w:t>
            </w:r>
          </w:p>
        </w:tc>
        <w:tc>
          <w:tcPr>
            <w:tcW w:w="60" w:type="dxa"/>
            <w:vAlign w:val="bottom"/>
          </w:tcPr>
          <w:p>
            <w:pPr>
              <w:spacing w:after="0"/>
              <w:rPr>
                <w:sz w:val="19"/>
                <w:szCs w:val="19"/>
                <w:color w:val="auto"/>
              </w:rPr>
            </w:pPr>
          </w:p>
        </w:tc>
      </w:tr>
      <w:tr>
        <w:trPr>
          <w:trHeight w:val="221"/>
        </w:trPr>
        <w:tc>
          <w:tcPr>
            <w:tcW w:w="65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gain</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60" w:type="dxa"/>
            <w:vAlign w:val="bottom"/>
          </w:tcPr>
          <w:p>
            <w:pPr>
              <w:spacing w:after="0"/>
              <w:rPr>
                <w:sz w:val="19"/>
                <w:szCs w:val="19"/>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b w:val="1"/>
                <w:bCs w:val="1"/>
                <w:color w:val="auto"/>
              </w:rPr>
              <w:t>Accumulated deficit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(460,779)</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(427,403)</w:t>
            </w:r>
          </w:p>
        </w:tc>
      </w:tr>
      <w:tr>
        <w:trPr>
          <w:trHeight w:val="216"/>
        </w:trPr>
        <w:tc>
          <w:tcPr>
            <w:tcW w:w="658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26,505</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57,198</w:t>
            </w:r>
          </w:p>
        </w:tc>
        <w:tc>
          <w:tcPr>
            <w:tcW w:w="60" w:type="dxa"/>
            <w:vAlign w:val="bottom"/>
          </w:tcPr>
          <w:p>
            <w:pPr>
              <w:spacing w:after="0"/>
              <w:rPr>
                <w:sz w:val="18"/>
                <w:szCs w:val="18"/>
                <w:color w:val="auto"/>
              </w:rPr>
            </w:pPr>
          </w:p>
        </w:tc>
      </w:tr>
      <w:tr>
        <w:trPr>
          <w:trHeight w:val="215"/>
        </w:trPr>
        <w:tc>
          <w:tcPr>
            <w:tcW w:w="65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56,748</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99,632</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-5144770</wp:posOffset>
            </wp:positionV>
            <wp:extent cx="6189980" cy="51873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89980" cy="5187315"/>
                    </a:xfrm>
                    <a:prstGeom prst="rect">
                      <a:avLst/>
                    </a:prstGeom>
                    <a:noFill/>
                  </pic:spPr>
                </pic:pic>
              </a:graphicData>
            </a:graphic>
          </wp:anchor>
        </w:drawing>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See accompanying notes to the consolidated financial statements.</w:t>
      </w:r>
    </w:p>
    <w:p>
      <w:pPr>
        <w:sectPr>
          <w:pgSz w:w="12240" w:h="15840" w:orient="portrait"/>
          <w:cols w:equalWidth="0" w:num="1">
            <w:col w:w="9700"/>
          </w:cols>
          <w:pgMar w:left="1260" w:top="107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81</w:t>
      </w:r>
    </w:p>
    <w:p>
      <w:pPr>
        <w:sectPr>
          <w:pgSz w:w="12240" w:h="15840" w:orient="portrait"/>
          <w:cols w:equalWidth="0" w:num="1">
            <w:col w:w="9700"/>
          </w:cols>
          <w:pgMar w:left="1260" w:top="1079" w:right="1280" w:bottom="181"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20"/>
          <w:szCs w:val="20"/>
          <w:b w:val="1"/>
          <w:bCs w:val="1"/>
          <w:color w:val="auto"/>
        </w:rPr>
        <w:t>BOLT BIOTHERAPEUTICS, INC.</w:t>
      </w:r>
    </w:p>
    <w:p>
      <w:pPr>
        <w:jc w:val="center"/>
        <w:ind w:right="-19"/>
        <w:spacing w:after="0"/>
        <w:rPr>
          <w:sz w:val="20"/>
          <w:szCs w:val="20"/>
          <w:color w:val="auto"/>
        </w:rPr>
      </w:pPr>
      <w:r>
        <w:rPr>
          <w:rFonts w:ascii="Arial" w:cs="Arial" w:eastAsia="Arial" w:hAnsi="Arial"/>
          <w:sz w:val="20"/>
          <w:szCs w:val="20"/>
          <w:b w:val="1"/>
          <w:bCs w:val="1"/>
          <w:color w:val="auto"/>
        </w:rPr>
        <w:t>CONSOLIDATED STATEMENTS OF OPERATIONS AND COMPREHENSIVE LOSS</w:t>
      </w:r>
    </w:p>
    <w:p>
      <w:pPr>
        <w:jc w:val="center"/>
        <w:ind w:right="-19"/>
        <w:spacing w:after="0" w:line="237" w:lineRule="auto"/>
        <w:rPr>
          <w:sz w:val="20"/>
          <w:szCs w:val="20"/>
          <w:color w:val="auto"/>
        </w:rPr>
      </w:pPr>
      <w:r>
        <w:rPr>
          <w:rFonts w:ascii="Arial" w:cs="Arial" w:eastAsia="Arial" w:hAnsi="Arial"/>
          <w:sz w:val="20"/>
          <w:szCs w:val="20"/>
          <w:b w:val="1"/>
          <w:bCs w:val="1"/>
          <w:color w:val="auto"/>
        </w:rPr>
        <w:t>(in thousands, except share and per share amounts)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Years Ended December 31,</w:t>
            </w:r>
          </w:p>
        </w:tc>
      </w:tr>
      <w:tr>
        <w:trPr>
          <w:trHeight w:val="193"/>
        </w:trPr>
        <w:tc>
          <w:tcPr>
            <w:tcW w:w="658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6"/>
                <w:szCs w:val="16"/>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b w:val="1"/>
                <w:bCs w:val="1"/>
                <w:color w:val="auto"/>
              </w:rPr>
              <w:t>Collaboration revenue</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7,695</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7,690</w:t>
            </w:r>
          </w:p>
        </w:tc>
        <w:tc>
          <w:tcPr>
            <w:tcW w:w="60" w:type="dxa"/>
            <w:vAlign w:val="bottom"/>
          </w:tcPr>
          <w:p>
            <w:pPr>
              <w:spacing w:after="0"/>
              <w:rPr>
                <w:sz w:val="18"/>
                <w:szCs w:val="18"/>
                <w:color w:val="auto"/>
              </w:rPr>
            </w:pPr>
          </w:p>
        </w:tc>
      </w:tr>
      <w:tr>
        <w:trPr>
          <w:trHeight w:val="221"/>
        </w:trPr>
        <w:tc>
          <w:tcPr>
            <w:tcW w:w="65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Research and development</w:t>
            </w:r>
          </w:p>
        </w:tc>
        <w:tc>
          <w:tcPr>
            <w:tcW w:w="3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28,533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57,469</w:t>
            </w:r>
          </w:p>
        </w:tc>
        <w:tc>
          <w:tcPr>
            <w:tcW w:w="60" w:type="dxa"/>
            <w:vAlign w:val="bottom"/>
          </w:tcPr>
          <w:p>
            <w:pPr>
              <w:spacing w:after="0"/>
              <w:rPr>
                <w:sz w:val="19"/>
                <w:szCs w:val="19"/>
                <w:color w:val="auto"/>
              </w:rPr>
            </w:pPr>
          </w:p>
        </w:tc>
      </w:tr>
      <w:tr>
        <w:trPr>
          <w:trHeight w:val="221"/>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General and administrative</w:t>
            </w:r>
          </w:p>
        </w:tc>
        <w:tc>
          <w:tcPr>
            <w:tcW w:w="3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13,795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18,457</w:t>
            </w:r>
          </w:p>
        </w:tc>
        <w:tc>
          <w:tcPr>
            <w:tcW w:w="60" w:type="dxa"/>
            <w:vAlign w:val="bottom"/>
          </w:tcPr>
          <w:p>
            <w:pPr>
              <w:spacing w:after="0"/>
              <w:rPr>
                <w:sz w:val="19"/>
                <w:szCs w:val="19"/>
                <w:color w:val="auto"/>
              </w:rPr>
            </w:pPr>
          </w:p>
        </w:tc>
      </w:tr>
      <w:tr>
        <w:trPr>
          <w:trHeight w:val="221"/>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Restructuring charges</w:t>
            </w:r>
          </w:p>
        </w:tc>
        <w:tc>
          <w:tcPr>
            <w:tcW w:w="3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1,480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3,343</w:t>
            </w:r>
          </w:p>
        </w:tc>
        <w:tc>
          <w:tcPr>
            <w:tcW w:w="60" w:type="dxa"/>
            <w:vAlign w:val="bottom"/>
          </w:tcPr>
          <w:p>
            <w:pPr>
              <w:spacing w:after="0"/>
              <w:rPr>
                <w:sz w:val="19"/>
                <w:szCs w:val="19"/>
                <w:color w:val="auto"/>
              </w:rPr>
            </w:pPr>
          </w:p>
        </w:tc>
      </w:tr>
      <w:tr>
        <w:trPr>
          <w:trHeight w:val="221"/>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Impairment charges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1,469</w:t>
            </w:r>
          </w:p>
        </w:tc>
        <w:tc>
          <w:tcPr>
            <w:tcW w:w="60" w:type="dxa"/>
            <w:vAlign w:val="bottom"/>
          </w:tcPr>
          <w:p>
            <w:pPr>
              <w:spacing w:after="0"/>
              <w:rPr>
                <w:sz w:val="19"/>
                <w:szCs w:val="19"/>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b w:val="1"/>
                <w:bCs w:val="1"/>
                <w:color w:val="auto"/>
              </w:rPr>
              <w:t>Total operating expense</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43,808</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80,738</w:t>
            </w:r>
          </w:p>
        </w:tc>
        <w:tc>
          <w:tcPr>
            <w:tcW w:w="60" w:type="dxa"/>
            <w:vAlign w:val="bottom"/>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(36,113)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(73,048)</w:t>
            </w:r>
          </w:p>
        </w:tc>
      </w:tr>
      <w:tr>
        <w:trPr>
          <w:trHeight w:val="221"/>
        </w:trPr>
        <w:tc>
          <w:tcPr>
            <w:tcW w:w="6580" w:type="dxa"/>
            <w:vAlign w:val="bottom"/>
          </w:tcPr>
          <w:p>
            <w:pPr>
              <w:spacing w:after="0"/>
              <w:rPr>
                <w:sz w:val="20"/>
                <w:szCs w:val="20"/>
                <w:color w:val="auto"/>
              </w:rPr>
            </w:pPr>
            <w:r>
              <w:rPr>
                <w:rFonts w:ascii="Arial" w:cs="Arial" w:eastAsia="Arial" w:hAnsi="Arial"/>
                <w:sz w:val="18"/>
                <w:szCs w:val="18"/>
                <w:b w:val="1"/>
                <w:bCs w:val="1"/>
                <w:color w:val="auto"/>
              </w:rPr>
              <w:t>Other income (expense), net:</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Interest income, net</w:t>
            </w:r>
          </w:p>
        </w:tc>
        <w:tc>
          <w:tcPr>
            <w:tcW w:w="3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2,496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5,255</w:t>
            </w:r>
          </w:p>
        </w:tc>
        <w:tc>
          <w:tcPr>
            <w:tcW w:w="60" w:type="dxa"/>
            <w:vAlign w:val="bottom"/>
          </w:tcPr>
          <w:p>
            <w:pPr>
              <w:spacing w:after="0"/>
              <w:rPr>
                <w:sz w:val="19"/>
                <w:szCs w:val="19"/>
                <w:color w:val="auto"/>
              </w:rPr>
            </w:pPr>
          </w:p>
        </w:tc>
      </w:tr>
      <w:tr>
        <w:trPr>
          <w:trHeight w:val="221"/>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Other income, net</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241</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4,675</w:t>
            </w:r>
          </w:p>
        </w:tc>
        <w:tc>
          <w:tcPr>
            <w:tcW w:w="60" w:type="dxa"/>
            <w:vAlign w:val="bottom"/>
          </w:tcPr>
          <w:p>
            <w:pPr>
              <w:spacing w:after="0"/>
              <w:rPr>
                <w:sz w:val="19"/>
                <w:szCs w:val="19"/>
                <w:color w:val="auto"/>
              </w:rPr>
            </w:pPr>
          </w:p>
        </w:tc>
      </w:tr>
      <w:tr>
        <w:trPr>
          <w:trHeight w:val="215"/>
        </w:trPr>
        <w:tc>
          <w:tcPr>
            <w:tcW w:w="6580" w:type="dxa"/>
            <w:vAlign w:val="bottom"/>
          </w:tcPr>
          <w:p>
            <w:pPr>
              <w:spacing w:after="0"/>
              <w:rPr>
                <w:sz w:val="20"/>
                <w:szCs w:val="20"/>
                <w:color w:val="auto"/>
              </w:rPr>
            </w:pPr>
            <w:r>
              <w:rPr>
                <w:rFonts w:ascii="Arial" w:cs="Arial" w:eastAsia="Arial" w:hAnsi="Arial"/>
                <w:sz w:val="18"/>
                <w:szCs w:val="18"/>
                <w:b w:val="1"/>
                <w:bCs w:val="1"/>
                <w:color w:val="auto"/>
              </w:rPr>
              <w:t>Total other income, net</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2,737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9,930</w:t>
            </w:r>
          </w:p>
        </w:tc>
        <w:tc>
          <w:tcPr>
            <w:tcW w:w="60" w:type="dxa"/>
            <w:vAlign w:val="bottom"/>
          </w:tcPr>
          <w:p>
            <w:pPr>
              <w:spacing w:after="0"/>
              <w:rPr>
                <w:sz w:val="18"/>
                <w:szCs w:val="18"/>
                <w:color w:val="auto"/>
              </w:rPr>
            </w:pPr>
          </w:p>
        </w:tc>
      </w:tr>
      <w:tr>
        <w:trPr>
          <w:trHeight w:val="215"/>
        </w:trPr>
        <w:tc>
          <w:tcPr>
            <w:tcW w:w="65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(33,376)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(63,118)</w:t>
            </w:r>
          </w:p>
        </w:tc>
      </w:tr>
      <w:tr>
        <w:trPr>
          <w:trHeight w:val="222"/>
        </w:trPr>
        <w:tc>
          <w:tcPr>
            <w:tcW w:w="6580" w:type="dxa"/>
            <w:vAlign w:val="bottom"/>
          </w:tcPr>
          <w:p>
            <w:pPr>
              <w:spacing w:after="0"/>
              <w:rPr>
                <w:sz w:val="20"/>
                <w:szCs w:val="20"/>
                <w:color w:val="auto"/>
              </w:rPr>
            </w:pPr>
            <w:r>
              <w:rPr>
                <w:rFonts w:ascii="Arial" w:cs="Arial" w:eastAsia="Arial" w:hAnsi="Arial"/>
                <w:sz w:val="18"/>
                <w:szCs w:val="18"/>
                <w:b w:val="1"/>
                <w:bCs w:val="1"/>
                <w:color w:val="auto"/>
              </w:rPr>
              <w:t>Net unrealized (loss) gain on marketable securities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60" w:type="dxa"/>
            <w:vAlign w:val="bottom"/>
          </w:tcPr>
          <w:p>
            <w:pPr>
              <w:spacing w:after="0"/>
              <w:rPr>
                <w:sz w:val="19"/>
                <w:szCs w:val="19"/>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(33,494)</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(63,058)</w:t>
            </w:r>
          </w:p>
        </w:tc>
      </w:tr>
      <w:tr>
        <w:trPr>
          <w:trHeight w:val="264"/>
        </w:trPr>
        <w:tc>
          <w:tcPr>
            <w:tcW w:w="6580" w:type="dxa"/>
            <w:vAlign w:val="bottom"/>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(17.85</w:t>
            </w:r>
            <w:r>
              <w:rPr>
                <w:rFonts w:ascii="Arial" w:cs="Arial" w:eastAsia="Arial" w:hAnsi="Arial"/>
                <w:sz w:val="18"/>
                <w:szCs w:val="18"/>
                <w:b w:val="1"/>
                <w:bCs w:val="1"/>
                <w:color w:val="auto"/>
                <w:highlight w:val="white"/>
              </w:rPr>
              <w:t>)</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(33.06)</w:t>
            </w:r>
          </w:p>
        </w:tc>
      </w:tr>
      <w:tr>
        <w:trPr>
          <w:trHeight w:val="266"/>
        </w:trPr>
        <w:tc>
          <w:tcPr>
            <w:tcW w:w="6580" w:type="dxa"/>
            <w:vAlign w:val="bottom"/>
          </w:tcPr>
          <w:p>
            <w:pPr>
              <w:spacing w:after="0"/>
              <w:rPr>
                <w:sz w:val="20"/>
                <w:szCs w:val="20"/>
                <w:color w:val="auto"/>
              </w:rPr>
            </w:pPr>
            <w:r>
              <w:rPr>
                <w:rFonts w:ascii="Arial" w:cs="Arial" w:eastAsia="Arial" w:hAnsi="Arial"/>
                <w:sz w:val="18"/>
                <w:szCs w:val="18"/>
                <w:b w:val="1"/>
                <w:bCs w:val="1"/>
                <w:color w:val="auto"/>
              </w:rPr>
              <w:t>Weighted-average shares outstanding, basic and diluted</w:t>
            </w:r>
          </w:p>
        </w:tc>
        <w:tc>
          <w:tcPr>
            <w:tcW w:w="32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1,869,924</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1,909,225</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-2646680</wp:posOffset>
            </wp:positionV>
            <wp:extent cx="6189980" cy="26892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89980" cy="2689225"/>
                    </a:xfrm>
                    <a:prstGeom prst="rect">
                      <a:avLst/>
                    </a:prstGeom>
                    <a:noFill/>
                  </pic:spPr>
                </pic:pic>
              </a:graphicData>
            </a:graphic>
          </wp:anchor>
        </w:drawing>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See accompanying notes to the consolidated financial statements.</w:t>
      </w:r>
    </w:p>
    <w:p>
      <w:pPr>
        <w:sectPr>
          <w:pgSz w:w="12240" w:h="15840" w:orient="portrait"/>
          <w:cols w:equalWidth="0" w:num="1">
            <w:col w:w="9700"/>
          </w:cols>
          <w:pgMar w:left="1260" w:top="107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82</w:t>
      </w:r>
    </w:p>
    <w:p>
      <w:pPr>
        <w:sectPr>
          <w:pgSz w:w="12240" w:h="15840" w:orient="portrait"/>
          <w:cols w:equalWidth="0" w:num="1">
            <w:col w:w="9700"/>
          </w:cols>
          <w:pgMar w:left="1260" w:top="1079" w:right="1280" w:bottom="181" w:gutter="0" w:footer="0" w:header="0"/>
          <w:type w:val="continuous"/>
        </w:sectPr>
      </w:pPr>
    </w:p>
    <w:bookmarkStart w:id="122" w:name="page123"/>
    <w:bookmarkEnd w:id="122"/>
    <w:p>
      <w:pPr>
        <w:jc w:val="center"/>
        <w:ind w:left="1280" w:right="1840"/>
        <w:spacing w:after="0" w:line="235" w:lineRule="auto"/>
        <w:rPr>
          <w:sz w:val="20"/>
          <w:szCs w:val="20"/>
          <w:color w:val="auto"/>
        </w:rPr>
      </w:pPr>
      <w:r>
        <w:rPr>
          <w:rFonts w:ascii="Arial" w:cs="Arial" w:eastAsia="Arial" w:hAnsi="Arial"/>
          <w:sz w:val="20"/>
          <w:szCs w:val="20"/>
          <w:b w:val="1"/>
          <w:bCs w:val="1"/>
          <w:color w:val="auto"/>
        </w:rPr>
        <w:t>BOLT BIOTHERAPEUTICS, INC. CONSOLIDATED STATEMENTS OF STOCKHOLDERS' EQUITY (in thousands, except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13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1"/>
        </w:trPr>
        <w:tc>
          <w:tcPr>
            <w:tcW w:w="3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11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ind w:right="13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r>
      <w:tr>
        <w:trPr>
          <w:trHeight w:val="175"/>
        </w:trPr>
        <w:tc>
          <w:tcPr>
            <w:tcW w:w="3100" w:type="dxa"/>
            <w:vAlign w:val="bottom"/>
          </w:tcPr>
          <w:p>
            <w:pPr>
              <w:spacing w:after="0"/>
              <w:rPr>
                <w:sz w:val="15"/>
                <w:szCs w:val="15"/>
                <w:color w:val="auto"/>
              </w:rPr>
            </w:pPr>
          </w:p>
        </w:tc>
        <w:tc>
          <w:tcPr>
            <w:tcW w:w="940" w:type="dxa"/>
            <w:vAlign w:val="bottom"/>
          </w:tcPr>
          <w:p>
            <w:pPr>
              <w:jc w:val="right"/>
              <w:ind w:right="15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1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5"/>
                <w:szCs w:val="15"/>
                <w:color w:val="auto"/>
              </w:rPr>
            </w:pPr>
          </w:p>
        </w:tc>
        <w:tc>
          <w:tcPr>
            <w:tcW w:w="116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5"/>
                <w:szCs w:val="15"/>
                <w:color w:val="auto"/>
              </w:rPr>
            </w:pPr>
          </w:p>
        </w:tc>
        <w:tc>
          <w:tcPr>
            <w:tcW w:w="10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5"/>
                <w:szCs w:val="15"/>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Stockholders'</w:t>
            </w:r>
          </w:p>
        </w:tc>
      </w:tr>
      <w:tr>
        <w:trPr>
          <w:trHeight w:val="174"/>
        </w:trPr>
        <w:tc>
          <w:tcPr>
            <w:tcW w:w="3100" w:type="dxa"/>
            <w:vAlign w:val="bottom"/>
          </w:tcPr>
          <w:p>
            <w:pPr>
              <w:spacing w:after="0"/>
              <w:rPr>
                <w:sz w:val="15"/>
                <w:szCs w:val="15"/>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5"/>
                <w:szCs w:val="15"/>
                <w:color w:val="auto"/>
              </w:rPr>
            </w:pPr>
          </w:p>
        </w:tc>
      </w:tr>
      <w:tr>
        <w:trPr>
          <w:trHeight w:val="171"/>
        </w:trPr>
        <w:tc>
          <w:tcPr>
            <w:tcW w:w="3100" w:type="dxa"/>
            <w:vAlign w:val="bottom"/>
          </w:tcPr>
          <w:p>
            <w:pPr>
              <w:spacing w:after="0"/>
              <w:rPr>
                <w:sz w:val="20"/>
                <w:szCs w:val="20"/>
                <w:color w:val="auto"/>
              </w:rPr>
            </w:pPr>
            <w:r>
              <w:rPr>
                <w:rFonts w:ascii="Arial" w:cs="Arial" w:eastAsia="Arial" w:hAnsi="Arial"/>
                <w:sz w:val="14"/>
                <w:szCs w:val="14"/>
                <w:b w:val="1"/>
                <w:bCs w:val="1"/>
                <w:color w:val="auto"/>
              </w:rPr>
              <w:t>Balance at December 31, 2023</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1,905,750</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ind w:left="64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476,989</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4"/>
                <w:szCs w:val="14"/>
                <w:b w:val="1"/>
                <w:bCs w:val="1"/>
                <w:color w:val="auto"/>
              </w:rPr>
              <w:t>37</w:t>
            </w:r>
          </w:p>
        </w:tc>
        <w:tc>
          <w:tcPr>
            <w:tcW w:w="2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(364,285)</w:t>
            </w:r>
          </w:p>
        </w:tc>
        <w:tc>
          <w:tcPr>
            <w:tcW w:w="2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112,741</w:t>
            </w:r>
          </w:p>
        </w:tc>
        <w:tc>
          <w:tcPr>
            <w:tcW w:w="40" w:type="dxa"/>
            <w:vAlign w:val="bottom"/>
          </w:tcPr>
          <w:p>
            <w:pPr>
              <w:spacing w:after="0"/>
              <w:rPr>
                <w:sz w:val="14"/>
                <w:szCs w:val="14"/>
                <w:color w:val="auto"/>
              </w:rPr>
            </w:pPr>
          </w:p>
        </w:tc>
      </w:tr>
      <w:tr>
        <w:trPr>
          <w:trHeight w:val="175"/>
        </w:trPr>
        <w:tc>
          <w:tcPr>
            <w:tcW w:w="3100" w:type="dxa"/>
            <w:vAlign w:val="bottom"/>
          </w:tcPr>
          <w:p>
            <w:pPr>
              <w:spacing w:after="0"/>
              <w:rPr>
                <w:sz w:val="20"/>
                <w:szCs w:val="20"/>
                <w:color w:val="auto"/>
              </w:rPr>
            </w:pPr>
            <w:r>
              <w:rPr>
                <w:rFonts w:ascii="Arial" w:cs="Arial" w:eastAsia="Arial" w:hAnsi="Arial"/>
                <w:sz w:val="14"/>
                <w:szCs w:val="14"/>
                <w:b w:val="1"/>
                <w:bCs w:val="1"/>
                <w:color w:val="auto"/>
                <w:w w:val="86"/>
              </w:rPr>
              <w:t>Issuance of common stock upon vesting of restricted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1"/>
        </w:trPr>
        <w:tc>
          <w:tcPr>
            <w:tcW w:w="3100" w:type="dxa"/>
            <w:vAlign w:val="bottom"/>
          </w:tcPr>
          <w:p>
            <w:pPr>
              <w:spacing w:after="0"/>
              <w:rPr>
                <w:sz w:val="20"/>
                <w:szCs w:val="20"/>
                <w:color w:val="auto"/>
              </w:rPr>
            </w:pPr>
            <w:r>
              <w:rPr>
                <w:rFonts w:ascii="Arial" w:cs="Arial" w:eastAsia="Arial" w:hAnsi="Arial"/>
                <w:sz w:val="14"/>
                <w:szCs w:val="14"/>
                <w:b w:val="1"/>
                <w:bCs w:val="1"/>
                <w:color w:val="auto"/>
              </w:rPr>
              <w:t>stock units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2,032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ind w:left="6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r>
      <w:tr>
        <w:trPr>
          <w:trHeight w:val="175"/>
        </w:trPr>
        <w:tc>
          <w:tcPr>
            <w:tcW w:w="3100" w:type="dxa"/>
            <w:vAlign w:val="bottom"/>
          </w:tcPr>
          <w:p>
            <w:pPr>
              <w:spacing w:after="0"/>
              <w:rPr>
                <w:sz w:val="20"/>
                <w:szCs w:val="20"/>
                <w:color w:val="auto"/>
              </w:rPr>
            </w:pPr>
            <w:r>
              <w:rPr>
                <w:rFonts w:ascii="Arial" w:cs="Arial" w:eastAsia="Arial" w:hAnsi="Arial"/>
                <w:sz w:val="14"/>
                <w:szCs w:val="14"/>
                <w:b w:val="1"/>
                <w:bCs w:val="1"/>
                <w:color w:val="auto"/>
                <w:w w:val="92"/>
              </w:rPr>
              <w:t>Issuance of common stock under employee stock</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1"/>
        </w:trPr>
        <w:tc>
          <w:tcPr>
            <w:tcW w:w="3100" w:type="dxa"/>
            <w:vAlign w:val="bottom"/>
          </w:tcPr>
          <w:p>
            <w:pPr>
              <w:spacing w:after="0"/>
              <w:rPr>
                <w:sz w:val="20"/>
                <w:szCs w:val="20"/>
                <w:color w:val="auto"/>
              </w:rPr>
            </w:pPr>
            <w:r>
              <w:rPr>
                <w:rFonts w:ascii="Arial" w:cs="Arial" w:eastAsia="Arial" w:hAnsi="Arial"/>
                <w:sz w:val="14"/>
                <w:szCs w:val="14"/>
                <w:b w:val="1"/>
                <w:bCs w:val="1"/>
                <w:color w:val="auto"/>
              </w:rPr>
              <w:t>purchase plan</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9,161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ind w:left="6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108</w:t>
            </w:r>
          </w:p>
        </w:tc>
        <w:tc>
          <w:tcPr>
            <w:tcW w:w="40" w:type="dxa"/>
            <w:vAlign w:val="bottom"/>
          </w:tcPr>
          <w:p>
            <w:pPr>
              <w:spacing w:after="0"/>
              <w:rPr>
                <w:sz w:val="13"/>
                <w:szCs w:val="13"/>
                <w:color w:val="auto"/>
              </w:rPr>
            </w:pPr>
          </w:p>
        </w:tc>
      </w:tr>
      <w:tr>
        <w:trPr>
          <w:trHeight w:val="175"/>
        </w:trPr>
        <w:tc>
          <w:tcPr>
            <w:tcW w:w="3100" w:type="dxa"/>
            <w:vAlign w:val="bottom"/>
          </w:tcPr>
          <w:p>
            <w:pPr>
              <w:spacing w:after="0"/>
              <w:rPr>
                <w:sz w:val="20"/>
                <w:szCs w:val="20"/>
                <w:color w:val="auto"/>
              </w:rPr>
            </w:pPr>
            <w:r>
              <w:rPr>
                <w:rFonts w:ascii="Arial" w:cs="Arial" w:eastAsia="Arial" w:hAnsi="Arial"/>
                <w:sz w:val="14"/>
                <w:szCs w:val="14"/>
                <w:b w:val="1"/>
                <w:bCs w:val="1"/>
                <w:color w:val="auto"/>
              </w:rPr>
              <w:t>Stock-based compensation</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ind w:left="6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7,407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7,407</w:t>
            </w:r>
          </w:p>
        </w:tc>
        <w:tc>
          <w:tcPr>
            <w:tcW w:w="40" w:type="dxa"/>
            <w:vAlign w:val="bottom"/>
          </w:tcPr>
          <w:p>
            <w:pPr>
              <w:spacing w:after="0"/>
              <w:rPr>
                <w:sz w:val="15"/>
                <w:szCs w:val="15"/>
                <w:color w:val="auto"/>
              </w:rPr>
            </w:pPr>
          </w:p>
        </w:tc>
      </w:tr>
      <w:tr>
        <w:trPr>
          <w:trHeight w:val="175"/>
        </w:trPr>
        <w:tc>
          <w:tcPr>
            <w:tcW w:w="3100" w:type="dxa"/>
            <w:vAlign w:val="bottom"/>
          </w:tcPr>
          <w:p>
            <w:pPr>
              <w:spacing w:after="0"/>
              <w:rPr>
                <w:sz w:val="20"/>
                <w:szCs w:val="20"/>
                <w:color w:val="auto"/>
              </w:rPr>
            </w:pPr>
            <w:r>
              <w:rPr>
                <w:rFonts w:ascii="Arial" w:cs="Arial" w:eastAsia="Arial" w:hAnsi="Arial"/>
                <w:sz w:val="14"/>
                <w:szCs w:val="14"/>
                <w:b w:val="1"/>
                <w:bCs w:val="1"/>
                <w:color w:val="auto"/>
                <w:w w:val="93"/>
              </w:rPr>
              <w:t>Unrealized gain on available-for-sale investments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ind w:left="6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b w:val="1"/>
                <w:bCs w:val="1"/>
                <w:color w:val="auto"/>
              </w:rPr>
              <w:t>60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40" w:type="dxa"/>
            <w:vAlign w:val="bottom"/>
          </w:tcPr>
          <w:p>
            <w:pPr>
              <w:spacing w:after="0"/>
              <w:rPr>
                <w:sz w:val="15"/>
                <w:szCs w:val="15"/>
                <w:color w:val="auto"/>
              </w:rPr>
            </w:pPr>
          </w:p>
        </w:tc>
      </w:tr>
      <w:tr>
        <w:trPr>
          <w:trHeight w:val="174"/>
        </w:trPr>
        <w:tc>
          <w:tcPr>
            <w:tcW w:w="3100" w:type="dxa"/>
            <w:vAlign w:val="bottom"/>
          </w:tcPr>
          <w:p>
            <w:pPr>
              <w:spacing w:after="0"/>
              <w:rPr>
                <w:sz w:val="20"/>
                <w:szCs w:val="20"/>
                <w:color w:val="auto"/>
              </w:rPr>
            </w:pPr>
            <w:r>
              <w:rPr>
                <w:rFonts w:ascii="Arial" w:cs="Arial" w:eastAsia="Arial" w:hAnsi="Arial"/>
                <w:sz w:val="14"/>
                <w:szCs w:val="14"/>
                <w:b w:val="1"/>
                <w:bCs w:val="1"/>
                <w:color w:val="auto"/>
              </w:rPr>
              <w:t>Net loss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ind w:left="6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(63,118)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(63,118 </w:t>
            </w:r>
            <w:r>
              <w:rPr>
                <w:rFonts w:ascii="Arial" w:cs="Arial" w:eastAsia="Arial" w:hAnsi="Arial"/>
                <w:sz w:val="14"/>
                <w:szCs w:val="14"/>
                <w:b w:val="1"/>
                <w:bCs w:val="1"/>
                <w:color w:val="auto"/>
                <w:highlight w:val="white"/>
              </w:rPr>
              <w:t>)</w:t>
            </w:r>
          </w:p>
        </w:tc>
      </w:tr>
      <w:tr>
        <w:trPr>
          <w:trHeight w:val="20"/>
        </w:trPr>
        <w:tc>
          <w:tcPr>
            <w:tcW w:w="3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1"/>
        </w:trPr>
        <w:tc>
          <w:tcPr>
            <w:tcW w:w="3100" w:type="dxa"/>
            <w:vAlign w:val="bottom"/>
          </w:tcPr>
          <w:p>
            <w:pPr>
              <w:spacing w:after="0"/>
              <w:rPr>
                <w:sz w:val="20"/>
                <w:szCs w:val="20"/>
                <w:color w:val="auto"/>
              </w:rPr>
            </w:pPr>
            <w:r>
              <w:rPr>
                <w:rFonts w:ascii="Arial" w:cs="Arial" w:eastAsia="Arial" w:hAnsi="Arial"/>
                <w:sz w:val="14"/>
                <w:szCs w:val="14"/>
                <w:b w:val="1"/>
                <w:bCs w:val="1"/>
                <w:color w:val="auto"/>
              </w:rPr>
              <w:t>Balance at December 31, 2024</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1,916,943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ind w:left="6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484,504</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4"/>
                <w:szCs w:val="14"/>
                <w:b w:val="1"/>
                <w:bCs w:val="1"/>
                <w:color w:val="auto"/>
              </w:rPr>
              <w:t>97</w:t>
            </w:r>
          </w:p>
        </w:tc>
        <w:tc>
          <w:tcPr>
            <w:tcW w:w="2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(427,403)</w:t>
            </w:r>
          </w:p>
        </w:tc>
        <w:tc>
          <w:tcPr>
            <w:tcW w:w="2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57,198</w:t>
            </w:r>
          </w:p>
        </w:tc>
        <w:tc>
          <w:tcPr>
            <w:tcW w:w="40" w:type="dxa"/>
            <w:vAlign w:val="bottom"/>
          </w:tcPr>
          <w:p>
            <w:pPr>
              <w:spacing w:after="0"/>
              <w:rPr>
                <w:sz w:val="14"/>
                <w:szCs w:val="14"/>
                <w:color w:val="auto"/>
              </w:rPr>
            </w:pPr>
          </w:p>
        </w:tc>
      </w:tr>
      <w:tr>
        <w:trPr>
          <w:trHeight w:val="218"/>
        </w:trPr>
        <w:tc>
          <w:tcPr>
            <w:tcW w:w="3100" w:type="dxa"/>
            <w:vAlign w:val="bottom"/>
          </w:tcPr>
          <w:p>
            <w:pPr>
              <w:spacing w:after="0"/>
              <w:rPr>
                <w:sz w:val="20"/>
                <w:szCs w:val="20"/>
                <w:color w:val="auto"/>
              </w:rPr>
            </w:pPr>
            <w:r>
              <w:rPr>
                <w:rFonts w:ascii="Arial" w:cs="Arial" w:eastAsia="Arial" w:hAnsi="Arial"/>
                <w:sz w:val="14"/>
                <w:szCs w:val="14"/>
                <w:b w:val="1"/>
                <w:bCs w:val="1"/>
                <w:color w:val="auto"/>
                <w:w w:val="92"/>
              </w:rPr>
              <w:t>Issuance of common stock under employee stock</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63"/>
        </w:trPr>
        <w:tc>
          <w:tcPr>
            <w:tcW w:w="3100" w:type="dxa"/>
            <w:vAlign w:val="bottom"/>
          </w:tcPr>
          <w:p>
            <w:pPr>
              <w:spacing w:after="0"/>
              <w:rPr>
                <w:sz w:val="20"/>
                <w:szCs w:val="20"/>
                <w:color w:val="auto"/>
              </w:rPr>
            </w:pPr>
            <w:r>
              <w:rPr>
                <w:rFonts w:ascii="Arial" w:cs="Arial" w:eastAsia="Arial" w:hAnsi="Arial"/>
                <w:sz w:val="14"/>
                <w:szCs w:val="14"/>
                <w:b w:val="1"/>
                <w:bCs w:val="1"/>
                <w:color w:val="auto"/>
              </w:rPr>
              <w:t>purchase plan</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3,623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ind w:left="6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40" w:type="dxa"/>
            <w:vAlign w:val="bottom"/>
          </w:tcPr>
          <w:p>
            <w:pPr>
              <w:spacing w:after="0"/>
              <w:rPr>
                <w:sz w:val="14"/>
                <w:szCs w:val="14"/>
                <w:color w:val="auto"/>
              </w:rPr>
            </w:pPr>
          </w:p>
        </w:tc>
      </w:tr>
      <w:tr>
        <w:trPr>
          <w:trHeight w:val="173"/>
        </w:trPr>
        <w:tc>
          <w:tcPr>
            <w:tcW w:w="3100" w:type="dxa"/>
            <w:vAlign w:val="bottom"/>
          </w:tcPr>
          <w:p>
            <w:pPr>
              <w:spacing w:after="0"/>
              <w:rPr>
                <w:sz w:val="20"/>
                <w:szCs w:val="20"/>
                <w:color w:val="auto"/>
              </w:rPr>
            </w:pPr>
            <w:r>
              <w:rPr>
                <w:rFonts w:ascii="Arial" w:cs="Arial" w:eastAsia="Arial" w:hAnsi="Arial"/>
                <w:sz w:val="14"/>
                <w:szCs w:val="14"/>
                <w:b w:val="1"/>
                <w:bCs w:val="1"/>
                <w:color w:val="auto"/>
              </w:rPr>
              <w:t>Stock-based compensation</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ind w:left="6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2,782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2,782</w:t>
            </w:r>
          </w:p>
        </w:tc>
        <w:tc>
          <w:tcPr>
            <w:tcW w:w="40" w:type="dxa"/>
            <w:vAlign w:val="bottom"/>
          </w:tcPr>
          <w:p>
            <w:pPr>
              <w:spacing w:after="0"/>
              <w:rPr>
                <w:sz w:val="15"/>
                <w:szCs w:val="15"/>
                <w:color w:val="auto"/>
              </w:rPr>
            </w:pPr>
          </w:p>
        </w:tc>
      </w:tr>
      <w:tr>
        <w:trPr>
          <w:trHeight w:val="175"/>
        </w:trPr>
        <w:tc>
          <w:tcPr>
            <w:tcW w:w="3100" w:type="dxa"/>
            <w:vAlign w:val="bottom"/>
          </w:tcPr>
          <w:p>
            <w:pPr>
              <w:spacing w:after="0"/>
              <w:rPr>
                <w:sz w:val="20"/>
                <w:szCs w:val="20"/>
                <w:color w:val="auto"/>
              </w:rPr>
            </w:pPr>
            <w:r>
              <w:rPr>
                <w:rFonts w:ascii="Arial" w:cs="Arial" w:eastAsia="Arial" w:hAnsi="Arial"/>
                <w:sz w:val="14"/>
                <w:szCs w:val="14"/>
                <w:b w:val="1"/>
                <w:bCs w:val="1"/>
                <w:color w:val="auto"/>
                <w:w w:val="94"/>
              </w:rPr>
              <w:t>Unrealized loss on available-for-sale investments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ind w:left="6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(118 </w:t>
            </w:r>
            <w:r>
              <w:rPr>
                <w:rFonts w:ascii="Arial" w:cs="Arial" w:eastAsia="Arial" w:hAnsi="Arial"/>
                <w:sz w:val="14"/>
                <w:szCs w:val="14"/>
                <w:b w:val="1"/>
                <w:bCs w:val="1"/>
                <w:color w:val="auto"/>
                <w:shd w:val="clear" w:color="auto" w:fill="E5E5E5"/>
              </w:rPr>
              <w:t>)</w:t>
            </w:r>
          </w:p>
        </w:tc>
      </w:tr>
      <w:tr>
        <w:trPr>
          <w:trHeight w:val="176"/>
        </w:trPr>
        <w:tc>
          <w:tcPr>
            <w:tcW w:w="3100" w:type="dxa"/>
            <w:vAlign w:val="bottom"/>
          </w:tcPr>
          <w:p>
            <w:pPr>
              <w:spacing w:after="0"/>
              <w:rPr>
                <w:sz w:val="20"/>
                <w:szCs w:val="20"/>
                <w:color w:val="auto"/>
              </w:rPr>
            </w:pPr>
            <w:r>
              <w:rPr>
                <w:rFonts w:ascii="Arial" w:cs="Arial" w:eastAsia="Arial" w:hAnsi="Arial"/>
                <w:sz w:val="14"/>
                <w:szCs w:val="14"/>
                <w:b w:val="1"/>
                <w:bCs w:val="1"/>
                <w:color w:val="auto"/>
              </w:rPr>
              <w:t>Net loss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ind w:left="6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(33,376)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(33,376 </w:t>
            </w:r>
            <w:r>
              <w:rPr>
                <w:rFonts w:ascii="Arial" w:cs="Arial" w:eastAsia="Arial" w:hAnsi="Arial"/>
                <w:sz w:val="14"/>
                <w:szCs w:val="14"/>
                <w:b w:val="1"/>
                <w:bCs w:val="1"/>
                <w:color w:val="auto"/>
                <w:highlight w:val="white"/>
              </w:rPr>
              <w:t>)</w:t>
            </w:r>
          </w:p>
        </w:tc>
      </w:tr>
      <w:tr>
        <w:trPr>
          <w:trHeight w:val="169"/>
        </w:trPr>
        <w:tc>
          <w:tcPr>
            <w:tcW w:w="3100" w:type="dxa"/>
            <w:vAlign w:val="bottom"/>
          </w:tcPr>
          <w:p>
            <w:pPr>
              <w:spacing w:after="0"/>
              <w:rPr>
                <w:sz w:val="20"/>
                <w:szCs w:val="20"/>
                <w:color w:val="auto"/>
              </w:rPr>
            </w:pPr>
            <w:r>
              <w:rPr>
                <w:rFonts w:ascii="Arial" w:cs="Arial" w:eastAsia="Arial" w:hAnsi="Arial"/>
                <w:sz w:val="14"/>
                <w:szCs w:val="14"/>
                <w:b w:val="1"/>
                <w:bCs w:val="1"/>
                <w:color w:val="auto"/>
              </w:rPr>
              <w:t>Balance at December 31, 2025</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1,920,566</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tcPr>
          <w:p>
            <w:pPr>
              <w:ind w:left="64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487,305</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2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(460,779)</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26,505</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-1708785</wp:posOffset>
            </wp:positionV>
            <wp:extent cx="6189980" cy="17519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89980" cy="1751965"/>
                    </a:xfrm>
                    <a:prstGeom prst="rect">
                      <a:avLst/>
                    </a:prstGeom>
                    <a:noFill/>
                  </pic:spPr>
                </pic:pic>
              </a:graphicData>
            </a:graphic>
          </wp:anchor>
        </w:drawing>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See accompanying notes to the consolidated financial statements.</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83</w:t>
      </w:r>
    </w:p>
    <w:p>
      <w:pPr>
        <w:sectPr>
          <w:pgSz w:w="12240" w:h="15840" w:orient="portrait"/>
          <w:cols w:equalWidth="0" w:num="1">
            <w:col w:w="9700"/>
          </w:cols>
          <w:pgMar w:left="1260" w:top="1089" w:right="1280" w:bottom="181"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20"/>
          <w:szCs w:val="20"/>
          <w:b w:val="1"/>
          <w:bCs w:val="1"/>
          <w:color w:val="auto"/>
        </w:rPr>
        <w:t>BOLT BIOTHERAPEUTICS,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CASH FLOWS</w:t>
      </w:r>
    </w:p>
    <w:p>
      <w:pPr>
        <w:jc w:val="center"/>
        <w:spacing w:after="0"/>
        <w:rPr>
          <w:sz w:val="20"/>
          <w:szCs w:val="20"/>
          <w:color w:val="auto"/>
        </w:rPr>
      </w:pPr>
      <w:r>
        <w:rPr>
          <w:rFonts w:ascii="Arial" w:cs="Arial" w:eastAsia="Arial" w:hAnsi="Arial"/>
          <w:sz w:val="20"/>
          <w:szCs w:val="20"/>
          <w:b w:val="1"/>
          <w:bCs w:val="1"/>
          <w:color w:val="auto"/>
        </w:rPr>
        <w:t>(in thousands)</w:t>
      </w:r>
    </w:p>
    <w:p>
      <w:pPr>
        <w:sectPr>
          <w:pgSz w:w="12240" w:h="15840" w:orient="portrait"/>
          <w:cols w:equalWidth="0" w:num="1">
            <w:col w:w="9700"/>
          </w:cols>
          <w:pgMar w:left="1260" w:top="107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-298450</wp:posOffset>
            </wp:positionV>
            <wp:extent cx="6189980" cy="51034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89980" cy="51034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Net loss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Adjustments to reconcile net loss to net cash used in operating activities:</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Depreciation and amortization</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Stock-based compensation expense</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Accretion of discount on marketable securities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sale of fixed assets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Asset impairment</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Non-cash lease expense</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operating assets and liabilities:</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Prepaid expenses and other assets</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Accounts payable and accrued expenses</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Operating lease liabilities, net</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Deferred revenue</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Other long-term liabilities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Purchase of property and equipment</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Proceeds from sales of property and equipment</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Purchases of marketable securities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Maturities of marketable securities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Proceeds from issuance of common stock</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NET INCREASE (DECREASE) IN CASH</w:t>
      </w:r>
    </w:p>
    <w:p>
      <w:pPr>
        <w:spacing w:after="0" w:line="22" w:lineRule="exact"/>
        <w:rPr>
          <w:sz w:val="20"/>
          <w:szCs w:val="20"/>
          <w:color w:val="auto"/>
        </w:rPr>
      </w:pPr>
    </w:p>
    <w:p>
      <w:pPr>
        <w:ind w:right="1340"/>
        <w:spacing w:after="0" w:line="402" w:lineRule="auto"/>
        <w:rPr>
          <w:sz w:val="20"/>
          <w:szCs w:val="20"/>
          <w:color w:val="auto"/>
        </w:rPr>
      </w:pPr>
      <w:r>
        <w:rPr>
          <w:rFonts w:ascii="Arial" w:cs="Arial" w:eastAsia="Arial" w:hAnsi="Arial"/>
          <w:sz w:val="13"/>
          <w:szCs w:val="13"/>
          <w:b w:val="1"/>
          <w:bCs w:val="1"/>
          <w:color w:val="auto"/>
        </w:rPr>
        <w:t>Cash, cash equivalents and restricted cash at beginning of year Cash, cash equivalents and restricted cash at end of period</w:t>
      </w:r>
    </w:p>
    <w:p>
      <w:pPr>
        <w:spacing w:after="0" w:line="230" w:lineRule="auto"/>
        <w:rPr>
          <w:sz w:val="20"/>
          <w:szCs w:val="20"/>
          <w:color w:val="auto"/>
        </w:rPr>
      </w:pPr>
      <w:r>
        <w:rPr>
          <w:rFonts w:ascii="Arial" w:cs="Arial" w:eastAsia="Arial" w:hAnsi="Arial"/>
          <w:sz w:val="18"/>
          <w:szCs w:val="18"/>
          <w:b w:val="1"/>
          <w:bCs w:val="1"/>
          <w:color w:val="auto"/>
        </w:rPr>
        <w:t>Reconciliation of cash, cash equivalents and restricted cash:</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cash, cash equivalents and restricted cash</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Supplemental schedule of non-cash investing and financing activities: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Right of use assets obtained in exchange for operating lease obligations</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Years Ended December 31,</w:t>
      </w:r>
    </w:p>
    <w:tbl>
      <w:tblPr>
        <w:tblLayout w:type="fixed"/>
        <w:tblInd w:w="0" w:type="dxa"/>
        <w:tblCellMar>
          <w:top w:w="0" w:type="dxa"/>
          <w:left w:w="0" w:type="dxa"/>
          <w:bottom w:w="0" w:type="dxa"/>
          <w:right w:w="0" w:type="dxa"/>
        </w:tblCellMar>
      </w:tblPr>
      <w:tr>
        <w:trPr>
          <w:trHeight w:val="193"/>
        </w:trPr>
        <w:tc>
          <w:tcPr>
            <w:tcW w:w="3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6"/>
                <w:szCs w:val="16"/>
                <w:color w:val="auto"/>
              </w:rPr>
            </w:pPr>
          </w:p>
        </w:tc>
      </w:tr>
      <w:tr>
        <w:trPr>
          <w:trHeight w:val="437"/>
        </w:trPr>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(33,376)</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(63,118)</w:t>
            </w:r>
          </w:p>
        </w:tc>
      </w:tr>
      <w:tr>
        <w:trPr>
          <w:trHeight w:val="442"/>
        </w:trPr>
        <w:tc>
          <w:tcPr>
            <w:tcW w:w="32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1,291</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1,781</w:t>
            </w:r>
          </w:p>
        </w:tc>
        <w:tc>
          <w:tcPr>
            <w:tcW w:w="60" w:type="dxa"/>
            <w:vAlign w:val="bottom"/>
          </w:tcPr>
          <w:p>
            <w:pPr>
              <w:spacing w:after="0"/>
              <w:rPr>
                <w:sz w:val="24"/>
                <w:szCs w:val="24"/>
                <w:color w:val="auto"/>
              </w:rPr>
            </w:pPr>
          </w:p>
        </w:tc>
      </w:tr>
      <w:tr>
        <w:trPr>
          <w:trHeight w:val="221"/>
        </w:trPr>
        <w:tc>
          <w:tcPr>
            <w:tcW w:w="3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2,782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7,407</w:t>
            </w:r>
          </w:p>
        </w:tc>
        <w:tc>
          <w:tcPr>
            <w:tcW w:w="60" w:type="dxa"/>
            <w:vAlign w:val="bottom"/>
          </w:tcPr>
          <w:p>
            <w:pPr>
              <w:spacing w:after="0"/>
              <w:rPr>
                <w:sz w:val="19"/>
                <w:szCs w:val="19"/>
                <w:color w:val="auto"/>
              </w:rPr>
            </w:pPr>
          </w:p>
        </w:tc>
      </w:tr>
      <w:tr>
        <w:trPr>
          <w:trHeight w:val="221"/>
        </w:trPr>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(670)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(2,615)</w:t>
            </w:r>
          </w:p>
        </w:tc>
      </w:tr>
      <w:tr>
        <w:trPr>
          <w:trHeight w:val="221"/>
        </w:trPr>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(70)</w:t>
            </w:r>
          </w:p>
        </w:tc>
      </w:tr>
      <w:tr>
        <w:trPr>
          <w:trHeight w:val="221"/>
        </w:trPr>
        <w:tc>
          <w:tcPr>
            <w:tcW w:w="3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1,469</w:t>
            </w:r>
          </w:p>
        </w:tc>
        <w:tc>
          <w:tcPr>
            <w:tcW w:w="60" w:type="dxa"/>
            <w:vAlign w:val="bottom"/>
          </w:tcPr>
          <w:p>
            <w:pPr>
              <w:spacing w:after="0"/>
              <w:rPr>
                <w:sz w:val="19"/>
                <w:szCs w:val="19"/>
                <w:color w:val="auto"/>
              </w:rPr>
            </w:pPr>
          </w:p>
        </w:tc>
      </w:tr>
      <w:tr>
        <w:trPr>
          <w:trHeight w:val="221"/>
        </w:trPr>
        <w:tc>
          <w:tcPr>
            <w:tcW w:w="3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2,526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2,297</w:t>
            </w:r>
          </w:p>
        </w:tc>
        <w:tc>
          <w:tcPr>
            <w:tcW w:w="60" w:type="dxa"/>
            <w:vAlign w:val="bottom"/>
          </w:tcPr>
          <w:p>
            <w:pPr>
              <w:spacing w:after="0"/>
              <w:rPr>
                <w:sz w:val="19"/>
                <w:szCs w:val="19"/>
                <w:color w:val="auto"/>
              </w:rPr>
            </w:pPr>
          </w:p>
        </w:tc>
      </w:tr>
      <w:tr>
        <w:trPr>
          <w:trHeight w:val="442"/>
        </w:trPr>
        <w:tc>
          <w:tcPr>
            <w:tcW w:w="32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76</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2,571</w:t>
            </w:r>
          </w:p>
        </w:tc>
        <w:tc>
          <w:tcPr>
            <w:tcW w:w="60" w:type="dxa"/>
            <w:vAlign w:val="bottom"/>
          </w:tcPr>
          <w:p>
            <w:pPr>
              <w:spacing w:after="0"/>
              <w:rPr>
                <w:sz w:val="24"/>
                <w:szCs w:val="24"/>
                <w:color w:val="auto"/>
              </w:rPr>
            </w:pPr>
          </w:p>
        </w:tc>
      </w:tr>
      <w:tr>
        <w:trPr>
          <w:trHeight w:val="221"/>
        </w:trPr>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(5,430)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(4,883)</w:t>
            </w:r>
          </w:p>
        </w:tc>
      </w:tr>
      <w:tr>
        <w:trPr>
          <w:trHeight w:val="221"/>
        </w:trPr>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(2,251)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(1,412)</w:t>
            </w:r>
          </w:p>
        </w:tc>
      </w:tr>
      <w:tr>
        <w:trPr>
          <w:trHeight w:val="221"/>
        </w:trPr>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(4,642)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(4,673)</w:t>
            </w:r>
          </w:p>
        </w:tc>
      </w:tr>
      <w:tr>
        <w:trPr>
          <w:trHeight w:val="222"/>
        </w:trPr>
        <w:tc>
          <w:tcPr>
            <w:tcW w:w="3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132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(43)</w:t>
            </w:r>
          </w:p>
        </w:tc>
      </w:tr>
      <w:tr>
        <w:trPr>
          <w:trHeight w:val="20"/>
        </w:trPr>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(39,850)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(61,289)</w:t>
            </w:r>
          </w:p>
        </w:tc>
      </w:tr>
      <w:tr>
        <w:trPr>
          <w:trHeight w:val="20"/>
        </w:trPr>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6"/>
        </w:trPr>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(41)</w:t>
            </w:r>
          </w:p>
        </w:tc>
      </w:tr>
      <w:tr>
        <w:trPr>
          <w:trHeight w:val="221"/>
        </w:trPr>
        <w:tc>
          <w:tcPr>
            <w:tcW w:w="3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963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60" w:type="dxa"/>
            <w:vAlign w:val="bottom"/>
          </w:tcPr>
          <w:p>
            <w:pPr>
              <w:spacing w:after="0"/>
              <w:rPr>
                <w:sz w:val="19"/>
                <w:szCs w:val="19"/>
                <w:color w:val="auto"/>
              </w:rPr>
            </w:pPr>
          </w:p>
        </w:tc>
      </w:tr>
      <w:tr>
        <w:trPr>
          <w:trHeight w:val="221"/>
        </w:trPr>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(29,016)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(88,855)</w:t>
            </w:r>
          </w:p>
        </w:tc>
      </w:tr>
      <w:tr>
        <w:trPr>
          <w:trHeight w:val="221"/>
        </w:trPr>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72,427</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146,324</w:t>
            </w:r>
          </w:p>
        </w:tc>
        <w:tc>
          <w:tcPr>
            <w:tcW w:w="60" w:type="dxa"/>
            <w:vAlign w:val="bottom"/>
          </w:tcPr>
          <w:p>
            <w:pPr>
              <w:spacing w:after="0"/>
              <w:rPr>
                <w:sz w:val="19"/>
                <w:szCs w:val="19"/>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44,302</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57,576</w:t>
            </w:r>
          </w:p>
        </w:tc>
        <w:tc>
          <w:tcPr>
            <w:tcW w:w="60" w:type="dxa"/>
            <w:vAlign w:val="bottom"/>
          </w:tcPr>
          <w:p>
            <w:pPr>
              <w:spacing w:after="0"/>
              <w:rPr>
                <w:sz w:val="18"/>
                <w:szCs w:val="18"/>
                <w:color w:val="auto"/>
              </w:rPr>
            </w:pPr>
          </w:p>
        </w:tc>
      </w:tr>
      <w:tr>
        <w:trPr>
          <w:trHeight w:val="437"/>
        </w:trPr>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w:t>
            </w: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w:t>
            </w:r>
          </w:p>
        </w:tc>
        <w:tc>
          <w:tcPr>
            <w:tcW w:w="60" w:type="dxa"/>
            <w:vAlign w:val="bottom"/>
          </w:tcPr>
          <w:p>
            <w:pPr>
              <w:spacing w:after="0"/>
              <w:rPr>
                <w:sz w:val="24"/>
                <w:szCs w:val="24"/>
                <w:color w:val="auto"/>
              </w:rPr>
            </w:pPr>
          </w:p>
        </w:tc>
      </w:tr>
      <w:tr>
        <w:trPr>
          <w:trHeight w:val="215"/>
        </w:trPr>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w:t>
            </w:r>
          </w:p>
        </w:tc>
        <w:tc>
          <w:tcPr>
            <w:tcW w:w="60" w:type="dxa"/>
            <w:vAlign w:val="bottom"/>
          </w:tcPr>
          <w:p>
            <w:pPr>
              <w:spacing w:after="0"/>
              <w:rPr>
                <w:sz w:val="18"/>
                <w:szCs w:val="18"/>
                <w:color w:val="auto"/>
              </w:rPr>
            </w:pPr>
          </w:p>
        </w:tc>
      </w:tr>
      <w:tr>
        <w:trPr>
          <w:trHeight w:val="215"/>
        </w:trPr>
        <w:tc>
          <w:tcPr>
            <w:tcW w:w="3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4,471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(3,605)</w:t>
            </w:r>
          </w:p>
        </w:tc>
      </w:tr>
      <w:tr>
        <w:trPr>
          <w:trHeight w:val="222"/>
        </w:trPr>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8,970</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12,575</w:t>
            </w:r>
          </w:p>
        </w:tc>
        <w:tc>
          <w:tcPr>
            <w:tcW w:w="60" w:type="dxa"/>
            <w:vAlign w:val="bottom"/>
          </w:tcPr>
          <w:p>
            <w:pPr>
              <w:spacing w:after="0"/>
              <w:rPr>
                <w:sz w:val="19"/>
                <w:szCs w:val="19"/>
                <w:color w:val="auto"/>
              </w:rPr>
            </w:pPr>
          </w:p>
        </w:tc>
      </w:tr>
      <w:tr>
        <w:trPr>
          <w:trHeight w:val="216"/>
        </w:trPr>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13,441</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8,970</w:t>
            </w:r>
          </w:p>
        </w:tc>
        <w:tc>
          <w:tcPr>
            <w:tcW w:w="60" w:type="dxa"/>
            <w:vAlign w:val="bottom"/>
          </w:tcPr>
          <w:p>
            <w:pPr>
              <w:spacing w:after="0"/>
              <w:rPr>
                <w:sz w:val="18"/>
                <w:szCs w:val="18"/>
                <w:color w:val="auto"/>
              </w:rPr>
            </w:pPr>
          </w:p>
        </w:tc>
      </w:tr>
      <w:tr>
        <w:trPr>
          <w:trHeight w:val="487"/>
        </w:trPr>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11,703</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7,205</w:t>
            </w:r>
          </w:p>
        </w:tc>
        <w:tc>
          <w:tcPr>
            <w:tcW w:w="60" w:type="dxa"/>
            <w:vAlign w:val="bottom"/>
          </w:tcPr>
          <w:p>
            <w:pPr>
              <w:spacing w:after="0"/>
              <w:rPr>
                <w:sz w:val="24"/>
                <w:szCs w:val="24"/>
                <w:color w:val="auto"/>
              </w:rPr>
            </w:pPr>
          </w:p>
        </w:tc>
      </w:tr>
      <w:tr>
        <w:trPr>
          <w:trHeight w:val="221"/>
        </w:trPr>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1,738</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1,765</w:t>
            </w:r>
          </w:p>
        </w:tc>
        <w:tc>
          <w:tcPr>
            <w:tcW w:w="60" w:type="dxa"/>
            <w:vAlign w:val="bottom"/>
          </w:tcPr>
          <w:p>
            <w:pPr>
              <w:spacing w:after="0"/>
              <w:rPr>
                <w:sz w:val="19"/>
                <w:szCs w:val="19"/>
                <w:color w:val="auto"/>
              </w:rPr>
            </w:pPr>
          </w:p>
        </w:tc>
      </w:tr>
      <w:tr>
        <w:trPr>
          <w:trHeight w:val="215"/>
        </w:trPr>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13,441</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8,970</w:t>
            </w:r>
          </w:p>
        </w:tc>
        <w:tc>
          <w:tcPr>
            <w:tcW w:w="60" w:type="dxa"/>
            <w:vAlign w:val="bottom"/>
          </w:tcPr>
          <w:p>
            <w:pPr>
              <w:spacing w:after="0"/>
              <w:rPr>
                <w:sz w:val="18"/>
                <w:szCs w:val="18"/>
                <w:color w:val="auto"/>
              </w:rPr>
            </w:pPr>
          </w:p>
        </w:tc>
      </w:tr>
      <w:tr>
        <w:trPr>
          <w:trHeight w:val="487"/>
        </w:trPr>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6,402</w:t>
            </w:r>
          </w:p>
        </w:tc>
        <w:tc>
          <w:tcPr>
            <w:tcW w:w="6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2">
            <w:col w:w="5860" w:space="720"/>
            <w:col w:w="3120"/>
          </w:cols>
          <w:pgMar w:left="1260" w:top="1079" w:right="1280" w:bottom="181" w:gutter="0" w:footer="0" w:header="0"/>
          <w:type w:val="continuous"/>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See accompanying notes to the consolidated financial statements.</w:t>
      </w:r>
    </w:p>
    <w:p>
      <w:pPr>
        <w:sectPr>
          <w:pgSz w:w="12240" w:h="15840" w:orient="portrait"/>
          <w:cols w:equalWidth="0" w:num="1">
            <w:col w:w="9700"/>
          </w:cols>
          <w:pgMar w:left="1260" w:top="1079" w:right="1280" w:bottom="18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84</w:t>
      </w:r>
    </w:p>
    <w:p>
      <w:pPr>
        <w:sectPr>
          <w:pgSz w:w="12240" w:h="15840" w:orient="portrait"/>
          <w:cols w:equalWidth="0" w:num="1">
            <w:col w:w="9700"/>
          </w:cols>
          <w:pgMar w:left="1260" w:top="1079" w:right="1280" w:bottom="181" w:gutter="0" w:footer="0" w:header="0"/>
          <w:type w:val="continuous"/>
        </w:sectPr>
      </w:pPr>
    </w:p>
    <w:bookmarkStart w:id="124" w:name="page125"/>
    <w:bookmarkEnd w:id="124"/>
    <w:p>
      <w:pPr>
        <w:jc w:val="center"/>
        <w:ind w:right="-19"/>
        <w:spacing w:after="0"/>
        <w:rPr>
          <w:sz w:val="20"/>
          <w:szCs w:val="20"/>
          <w:color w:val="auto"/>
        </w:rPr>
      </w:pPr>
      <w:r>
        <w:rPr>
          <w:rFonts w:ascii="Arial" w:cs="Arial" w:eastAsia="Arial" w:hAnsi="Arial"/>
          <w:sz w:val="20"/>
          <w:szCs w:val="20"/>
          <w:b w:val="1"/>
          <w:bCs w:val="1"/>
          <w:color w:val="auto"/>
        </w:rPr>
        <w:t>BOLT BIOTHERAPEUTICS,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Description of the Business</w:t>
      </w:r>
    </w:p>
    <w:p>
      <w:pPr>
        <w:spacing w:after="0" w:line="131" w:lineRule="exact"/>
        <w:rPr>
          <w:sz w:val="20"/>
          <w:szCs w:val="20"/>
          <w:color w:val="auto"/>
        </w:rPr>
      </w:pPr>
    </w:p>
    <w:p>
      <w:pPr>
        <w:ind w:right="120"/>
        <w:spacing w:after="0" w:line="238" w:lineRule="auto"/>
        <w:rPr>
          <w:sz w:val="20"/>
          <w:szCs w:val="20"/>
          <w:color w:val="auto"/>
        </w:rPr>
      </w:pPr>
      <w:r>
        <w:rPr>
          <w:rFonts w:ascii="Arial" w:cs="Arial" w:eastAsia="Arial" w:hAnsi="Arial"/>
          <w:sz w:val="20"/>
          <w:szCs w:val="20"/>
          <w:b w:val="1"/>
          <w:bCs w:val="1"/>
          <w:color w:val="auto"/>
        </w:rPr>
        <w:t>Bolt Biotherapeutics, Inc. (the “Company”) is a clinical-stage biopharmaceutical company developing novel immunotherapies for the treatment of cancer. The Company’s pipeline candidates are built on the Company’s deep expertise in myeloid biology and cancer drug development, uniting the targeting precision of antibodies with the power of the innate and adaptive immune system to reprogram the tumor microenvironment for a productive anti-cancer response.</w:t>
      </w:r>
    </w:p>
    <w:p>
      <w:pPr>
        <w:spacing w:after="0" w:line="369" w:lineRule="exact"/>
        <w:rPr>
          <w:sz w:val="20"/>
          <w:szCs w:val="20"/>
          <w:color w:val="auto"/>
        </w:rPr>
      </w:pPr>
    </w:p>
    <w:p>
      <w:pPr>
        <w:ind w:right="5720" w:firstLine="2"/>
        <w:spacing w:after="0" w:line="354" w:lineRule="auto"/>
        <w:tabs>
          <w:tab w:leader="none" w:pos="199"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Basis of Presentation</w:t>
      </w:r>
    </w:p>
    <w:p>
      <w:pPr>
        <w:spacing w:after="0" w:line="22"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The Company’s consolidated financial statements have been prepared in accordance with U.S. generally accepted accounting principles (“U.S. GAAP”). The financial statements for the fiscal years ended December 31, 2025 and 2024 are consolidated and include the accounts of the Company and its subsidiary.</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Consolidation</w:t>
      </w:r>
    </w:p>
    <w:p>
      <w:pPr>
        <w:spacing w:after="0" w:line="128" w:lineRule="exact"/>
        <w:rPr>
          <w:sz w:val="20"/>
          <w:szCs w:val="20"/>
          <w:color w:val="auto"/>
        </w:rPr>
      </w:pPr>
    </w:p>
    <w:p>
      <w:pPr>
        <w:ind w:right="160"/>
        <w:spacing w:after="0" w:line="292" w:lineRule="auto"/>
        <w:rPr>
          <w:sz w:val="20"/>
          <w:szCs w:val="20"/>
          <w:color w:val="auto"/>
        </w:rPr>
      </w:pPr>
      <w:r>
        <w:rPr>
          <w:rFonts w:ascii="Arial" w:cs="Arial" w:eastAsia="Arial" w:hAnsi="Arial"/>
          <w:sz w:val="17"/>
          <w:szCs w:val="17"/>
          <w:b w:val="1"/>
          <w:bCs w:val="1"/>
          <w:color w:val="auto"/>
        </w:rPr>
        <w:t>The accompanying consolidated financial statements include the accounts of the Company and its wholly owned subsidiary, Bolt Biotherapeutics Australia PTY LTD (which are referred to herein, collectively, as the Company where context requires). The Company did not hold any assets or generate revenue during and as of the years ended December 31, 2025 and 2024. All intercompany balances and transactions have been eliminated on consolidation.</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Out-of-Period Adjustment</w:t>
      </w:r>
    </w:p>
    <w:p>
      <w:pPr>
        <w:spacing w:after="0" w:line="131"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color w:val="auto"/>
        </w:rPr>
        <w:t>On August 7, 2020, the Company executed a non-cancellable lease agreement (the “Chesapeake Master Lease”) for its corporate office, laboratory and vivarium space in Redwood City, California. During the year ended December 31, 2024, the Company recorded an out-of-period adjustment related to an error in lease accounting that occurred in fiscal year 2020 and which was identified during the close process in December 2024. This adjustment corrected an understatement of operating lease right-of-use asset of $6.4 million and an understatement of operating lease liabilities of $6.8 million as of December 31, 2024. Additionally, this adjustment resulted in a cumulative impact of $0.4 million in total rent expense, of which $0.3 million is related to research and development expense and $0.1 million is related to general and administrative expense, recorded in the year ended December 31, 2024 which related to prior periods. The Company assessed the materiality of this adjustment on the previously issued annual financial statements in accordance with SEC Staff Accounting Bulletin No. 99. The Company concluded that the out-of-period adjustments were not material to the annual financial statements for the year ended December 31, 2024.</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and Uncertainties</w:t>
      </w:r>
    </w:p>
    <w:p>
      <w:pPr>
        <w:spacing w:after="0" w:line="131" w:lineRule="exact"/>
        <w:rPr>
          <w:sz w:val="20"/>
          <w:szCs w:val="20"/>
          <w:color w:val="auto"/>
        </w:rPr>
      </w:pPr>
    </w:p>
    <w:p>
      <w:pPr>
        <w:ind w:right="40"/>
        <w:spacing w:after="0" w:line="330" w:lineRule="auto"/>
        <w:rPr>
          <w:sz w:val="20"/>
          <w:szCs w:val="20"/>
          <w:color w:val="auto"/>
        </w:rPr>
      </w:pPr>
      <w:r>
        <w:rPr>
          <w:rFonts w:ascii="Arial" w:cs="Arial" w:eastAsia="Arial" w:hAnsi="Arial"/>
          <w:sz w:val="15"/>
          <w:szCs w:val="15"/>
          <w:b w:val="1"/>
          <w:bCs w:val="1"/>
          <w:color w:val="auto"/>
        </w:rPr>
        <w:t>The Company is subject to a number of risks similar to other early-stage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product candidates, ability to raise additional capital, development of new technological innovations by its competitors, delay or inability to obtain chemical or biological intermediates from such suppliers required for the synthesis of the Company’s product candidates, protection of intellectual property rights, litigation or claims against the Company based on intellectual property rights, and regulatory clearance and market acceptance of the Company’s products.</w:t>
      </w:r>
    </w:p>
    <w:p>
      <w:pPr>
        <w:spacing w:after="0" w:line="68" w:lineRule="exact"/>
        <w:rPr>
          <w:sz w:val="20"/>
          <w:szCs w:val="20"/>
          <w:color w:val="auto"/>
        </w:rPr>
      </w:pPr>
    </w:p>
    <w:p>
      <w:pPr>
        <w:ind w:right="260"/>
        <w:spacing w:after="0" w:line="330" w:lineRule="auto"/>
        <w:rPr>
          <w:sz w:val="20"/>
          <w:szCs w:val="20"/>
          <w:color w:val="auto"/>
        </w:rPr>
      </w:pPr>
      <w:r>
        <w:rPr>
          <w:rFonts w:ascii="Arial" w:cs="Arial" w:eastAsia="Arial" w:hAnsi="Arial"/>
          <w:sz w:val="15"/>
          <w:szCs w:val="15"/>
          <w:b w:val="1"/>
          <w:bCs w:val="1"/>
          <w:color w:val="auto"/>
        </w:rPr>
        <w:t>Global economic and business activities continue to face widespread macroeconomic uncertainties, including pandemics, labor shortages, inflation and monetary supply shifts, recession risks and potential disruptions from major geopolitical conflicts. The Company continues to actively monitor the impact of these macroeconomic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w:t>
      </w:r>
    </w:p>
    <w:p>
      <w:pPr>
        <w:spacing w:after="0" w:line="70"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b w:val="1"/>
          <w:bCs w:val="1"/>
          <w:color w:val="auto"/>
        </w:rPr>
        <w:t>The Company relies on single source manufacturers and suppliers for the supply of its product candidates. Disruption from these manufacturers or suppliers would have a negative impact on the Company’s business, financial position, and results of operations.</w:t>
      </w:r>
    </w:p>
    <w:p>
      <w:pPr>
        <w:sectPr>
          <w:pgSz w:w="12240" w:h="15840" w:orient="portrait"/>
          <w:cols w:equalWidth="0" w:num="1">
            <w:col w:w="9680"/>
          </w:cols>
          <w:pgMar w:left="1260" w:top="1079" w:right="13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85</w:t>
      </w:r>
    </w:p>
    <w:p>
      <w:pPr>
        <w:sectPr>
          <w:pgSz w:w="12240" w:h="15840" w:orient="portrait"/>
          <w:cols w:equalWidth="0" w:num="1">
            <w:col w:w="9680"/>
          </w:cols>
          <w:pgMar w:left="1260" w:top="1079" w:right="1300" w:bottom="181" w:gutter="0" w:footer="0" w:header="0"/>
          <w:type w:val="continuous"/>
        </w:sectPr>
      </w:pPr>
    </w:p>
    <w:bookmarkStart w:id="125" w:name="page126"/>
    <w:bookmarkEnd w:id="125"/>
    <w:p>
      <w:pPr>
        <w:spacing w:after="0"/>
        <w:rPr>
          <w:sz w:val="20"/>
          <w:szCs w:val="20"/>
          <w:color w:val="auto"/>
        </w:rPr>
      </w:pPr>
      <w:r>
        <w:rPr>
          <w:rFonts w:ascii="Arial" w:cs="Arial" w:eastAsia="Arial" w:hAnsi="Arial"/>
          <w:sz w:val="20"/>
          <w:szCs w:val="20"/>
          <w:b w:val="1"/>
          <w:bCs w:val="1"/>
          <w:color w:val="auto"/>
        </w:rPr>
        <w:t>Liquidity and Going Concern</w:t>
      </w:r>
    </w:p>
    <w:p>
      <w:pPr>
        <w:spacing w:after="0" w:line="1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color w:val="auto"/>
        </w:rPr>
        <w:t>The Company has incurred net losses and negative cash flows from operations since its inception, has an accumulated deficit of $460.8 million and anticipates continuing to incur net operating losses and negative cash flows from operations for the foreseeable future. Under the Company's current plan management believes its cash and cash equivalents and marketable securities of $31.8 million as of December 31, 2025 will not be sufficient for the Company to continue as a going concern for at least one year from the issuance date of these financial statements. The Company believes that this raises substantial doubt about its ability to continue as a going concern within one year after the issuance of the consolidated financial statements.</w:t>
      </w:r>
    </w:p>
    <w:p>
      <w:pPr>
        <w:spacing w:after="0" w:line="110"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b w:val="1"/>
          <w:bCs w:val="1"/>
          <w:color w:val="auto"/>
        </w:rPr>
        <w:t>As a result, the Company will be required to raise additional capital by partnering, selling equity, or other means. There can be no assurance as to whether partnering efforts will be successful or whether additional financing will be available on terms acceptable to the Company, if at all. If sufficient funds on acceptable terms are not available when needed, it would have a negative impact on the Company’s financial condition and could force the Company to delay, limit, reduce, or terminate product development or future commercialization efforts or grant rights to develop and market product candidates that the Company would otherwise plan to develop and market itself.</w:t>
      </w:r>
    </w:p>
    <w:p>
      <w:pPr>
        <w:spacing w:after="0" w:line="93" w:lineRule="exact"/>
        <w:rPr>
          <w:sz w:val="20"/>
          <w:szCs w:val="20"/>
          <w:color w:val="auto"/>
        </w:rPr>
      </w:pPr>
    </w:p>
    <w:p>
      <w:pPr>
        <w:ind w:right="120"/>
        <w:spacing w:after="0" w:line="252" w:lineRule="auto"/>
        <w:rPr>
          <w:sz w:val="20"/>
          <w:szCs w:val="20"/>
          <w:color w:val="auto"/>
        </w:rPr>
      </w:pPr>
      <w:r>
        <w:rPr>
          <w:rFonts w:ascii="Arial" w:cs="Arial" w:eastAsia="Arial" w:hAnsi="Arial"/>
          <w:sz w:val="19"/>
          <w:szCs w:val="19"/>
          <w:b w:val="1"/>
          <w:bCs w:val="1"/>
          <w:color w:val="auto"/>
        </w:rPr>
        <w:t>The accompanying consolidated financial statements have been prepared assuming that the Company will continue as a going concern, which contemplates the realization of assets and the settlement of liabilities and commitments in the normal course of business. The accompanying consolidated financial statements do not reflect any adjustments relating to the recoverability and reclassifications of assets and liabilities that might be necessary if the Company is unable to continue as a going concern.</w:t>
      </w:r>
    </w:p>
    <w:p>
      <w:pPr>
        <w:spacing w:after="0" w:line="123"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color w:val="auto"/>
        </w:rPr>
        <w:t>The Company will need to raise additional capital to continue the advancement of its programs. In the near term, the Company's primary uses of cash will be to fund the completion of key milestones for clinical programs and to fund its operations, including research and development activities and employee salaries. This includes significant costs relating to clinical trials and manufacture of the Company's product candidates. The Company's uses of cash in the long term will be similar as the Company advances its research and development activities and pays employee salaries. Most pharmaceutical products require larger clinical trials as development progresses, and the Company expects its funding requirements to grow with the advancement of its programs. The Company's long-term funding requirements will depend on many factors, which are uncertain but include its portfolio prioritization decisions and the success of its collaborations. In turn, the Company's ability to raise additional capital through equity or partnering will depend on the general economic environment in which it operates and its ability to achieve key milestones.</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Reverse Stock Split</w:t>
      </w:r>
    </w:p>
    <w:p>
      <w:pPr>
        <w:spacing w:after="0" w:line="172" w:lineRule="exact"/>
        <w:rPr>
          <w:sz w:val="20"/>
          <w:szCs w:val="20"/>
          <w:color w:val="auto"/>
        </w:rPr>
      </w:pPr>
    </w:p>
    <w:p>
      <w:pPr>
        <w:spacing w:after="0" w:line="329" w:lineRule="auto"/>
        <w:rPr>
          <w:sz w:val="20"/>
          <w:szCs w:val="20"/>
          <w:color w:val="auto"/>
        </w:rPr>
      </w:pPr>
      <w:r>
        <w:rPr>
          <w:rFonts w:ascii="Arial" w:cs="Arial" w:eastAsia="Arial" w:hAnsi="Arial"/>
          <w:sz w:val="15"/>
          <w:szCs w:val="15"/>
          <w:b w:val="1"/>
          <w:bCs w:val="1"/>
          <w:color w:val="auto"/>
        </w:rPr>
        <w:t>On June 6, 2025, the Company effected a 1-for-20 reverse stock split (the “Reverse Stock Split”) of its common stock. The par value per share and the number of authorized shares were not adjusted as a result of the Reverse Stock Split. The shares of common stock underlying outstanding stock options were proportionately reduced and the respective exercise prices, if applicable, were proportionately increased in accordance with the terms of the agreements governing such stock. In addition, the shares available for grants under the Company’s equity incentive plans and employee stock purchase plan were adjusted as a result of the Reverse Stock Split. All references to common stock, options to purchase common stock, common stock share data, per share data, and related information contained in the consolidated financial statements have been retrospectively adjusted to reflect the effect of the Reverse Stock Split for all periods presented.</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1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color w:val="auto"/>
        </w:rPr>
        <w:t>The preparation of the consolidated financial statements in conformity with U.S. GAAP requires management to make estimates and assumptions that affect the reported amounts of assets, liabilities, and the disclosure of contingent assets and liabilities at the date of the consolidated financial statements and the reported amounts of expenses during the reporting period. On an ongoing basis, the Company evaluates its estimates and assumptions, including those related to revenue recognition, stock-based compensation, restructuring costs, long-lived assets impairment assessment, and accrued liabilities.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Reclassification</w:t>
      </w:r>
    </w:p>
    <w:p>
      <w:pPr>
        <w:spacing w:after="0" w:line="131" w:lineRule="exact"/>
        <w:rPr>
          <w:sz w:val="20"/>
          <w:szCs w:val="20"/>
          <w:color w:val="auto"/>
        </w:rPr>
      </w:pPr>
    </w:p>
    <w:p>
      <w:pPr>
        <w:ind w:right="520"/>
        <w:spacing w:after="0" w:line="233" w:lineRule="auto"/>
        <w:rPr>
          <w:sz w:val="20"/>
          <w:szCs w:val="20"/>
          <w:color w:val="auto"/>
        </w:rPr>
      </w:pPr>
      <w:r>
        <w:rPr>
          <w:rFonts w:ascii="Arial" w:cs="Arial" w:eastAsia="Arial" w:hAnsi="Arial"/>
          <w:sz w:val="20"/>
          <w:szCs w:val="20"/>
          <w:b w:val="1"/>
          <w:bCs w:val="1"/>
          <w:color w:val="auto"/>
        </w:rPr>
        <w:t>Certain amounts in the accompanying consolidated financial statements were reclassified to conform to the current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Restructuring Charges</w:t>
      </w:r>
    </w:p>
    <w:p>
      <w:pPr>
        <w:sectPr>
          <w:pgSz w:w="12240" w:h="15840" w:orient="portrait"/>
          <w:cols w:equalWidth="0" w:num="1">
            <w:col w:w="9700"/>
          </w:cols>
          <w:pgMar w:left="1260" w:top="1079" w:right="1280" w:bottom="181"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86</w:t>
      </w:r>
    </w:p>
    <w:p>
      <w:pPr>
        <w:sectPr>
          <w:pgSz w:w="12240" w:h="15840" w:orient="portrait"/>
          <w:cols w:equalWidth="0" w:num="1">
            <w:col w:w="9700"/>
          </w:cols>
          <w:pgMar w:left="1260" w:top="1079" w:right="1280" w:bottom="181" w:gutter="0" w:footer="0" w:header="0"/>
          <w:type w:val="continuous"/>
        </w:sectPr>
      </w:pPr>
    </w:p>
    <w:bookmarkStart w:id="126" w:name="page127"/>
    <w:bookmarkEnd w:id="126"/>
    <w:p>
      <w:pPr>
        <w:ind w:right="80"/>
        <w:spacing w:after="0" w:line="269" w:lineRule="auto"/>
        <w:rPr>
          <w:sz w:val="20"/>
          <w:szCs w:val="20"/>
          <w:color w:val="auto"/>
        </w:rPr>
      </w:pPr>
      <w:r>
        <w:rPr>
          <w:rFonts w:ascii="Arial" w:cs="Arial" w:eastAsia="Arial" w:hAnsi="Arial"/>
          <w:sz w:val="18"/>
          <w:szCs w:val="18"/>
          <w:b w:val="1"/>
          <w:bCs w:val="1"/>
          <w:color w:val="auto"/>
        </w:rPr>
        <w:t>Restructuring charges consist primarily of employee severance costs and related benefits. Liabilities for costs associated with a restructuring activity are recognized when the liability is incurred and are measured at fair value. For one-time employee terminations benefits, the Company recognizes the liability in full on the communication date when future services are not required or amortizes the liability ratably over the service period, if required. The fair value of termination benefits reflects the Company’s estimate of expected utilization of certain Company-funded post-employment benefits. One-time termination benefits include severance, continuation of health insurance coverage for certain employees, and other company funded benefits.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Long-lived Assets Impairment Assessment</w:t>
      </w:r>
    </w:p>
    <w:p>
      <w:pPr>
        <w:spacing w:after="0" w:line="129" w:lineRule="exact"/>
        <w:rPr>
          <w:sz w:val="20"/>
          <w:szCs w:val="20"/>
          <w:color w:val="auto"/>
        </w:rPr>
      </w:pPr>
    </w:p>
    <w:p>
      <w:pPr>
        <w:ind w:right="80"/>
        <w:spacing w:after="0" w:line="330" w:lineRule="auto"/>
        <w:rPr>
          <w:sz w:val="20"/>
          <w:szCs w:val="20"/>
          <w:color w:val="auto"/>
        </w:rPr>
      </w:pPr>
      <w:r>
        <w:rPr>
          <w:rFonts w:ascii="Arial" w:cs="Arial" w:eastAsia="Arial" w:hAnsi="Arial"/>
          <w:sz w:val="15"/>
          <w:szCs w:val="15"/>
          <w:b w:val="1"/>
          <w:bCs w:val="1"/>
          <w:color w:val="auto"/>
        </w:rPr>
        <w:t>Long-lived assets, including operating lease assets, are reviewed for impairment whenever events or changes in circumstances indicate that the carrying amount of an asset may not be recoverable. The recoverability of assets to be held and used is measured by a comparison of the carrying amount of the asset group to future net cash flows estimated by the Company to be generated by such assets. If such asset group is considered to be impaired, the impairment to be recognized is the amount by which the carrying amount of the asset group exceeds the fair value of the asset group. Any impairment loss is allocated to the long-lived assets of the group on a pro rata basis using the relative carrying amounts of those assets, except that the carrying amount of an individual asset cannot be reduced below its fair value.</w:t>
      </w:r>
    </w:p>
    <w:p>
      <w:pPr>
        <w:spacing w:after="0" w:line="70" w:lineRule="exact"/>
        <w:rPr>
          <w:sz w:val="20"/>
          <w:szCs w:val="20"/>
          <w:color w:val="auto"/>
        </w:rPr>
      </w:pPr>
    </w:p>
    <w:p>
      <w:pPr>
        <w:ind w:right="400"/>
        <w:spacing w:after="0" w:line="236" w:lineRule="auto"/>
        <w:rPr>
          <w:sz w:val="20"/>
          <w:szCs w:val="20"/>
          <w:color w:val="auto"/>
        </w:rPr>
      </w:pPr>
      <w:r>
        <w:rPr>
          <w:rFonts w:ascii="Arial" w:cs="Arial" w:eastAsia="Arial" w:hAnsi="Arial"/>
          <w:sz w:val="20"/>
          <w:szCs w:val="20"/>
          <w:b w:val="1"/>
          <w:bCs w:val="1"/>
          <w:color w:val="auto"/>
        </w:rPr>
        <w:t>Factors that may indicate potential impairment and trigger an impairment test include, but are not limited to, general macroeconomic conditions, conditions specific to the industry and market, an adverse change in legal factors and business climate or operational performance of the business.</w:t>
      </w:r>
    </w:p>
    <w:p>
      <w:pPr>
        <w:spacing w:after="0" w:line="133" w:lineRule="exact"/>
        <w:rPr>
          <w:sz w:val="20"/>
          <w:szCs w:val="20"/>
          <w:color w:val="auto"/>
        </w:rPr>
      </w:pPr>
    </w:p>
    <w:p>
      <w:pPr>
        <w:spacing w:after="0" w:line="252" w:lineRule="auto"/>
        <w:rPr>
          <w:sz w:val="20"/>
          <w:szCs w:val="20"/>
          <w:color w:val="auto"/>
        </w:rPr>
      </w:pPr>
      <w:r>
        <w:rPr>
          <w:rFonts w:ascii="Arial" w:cs="Arial" w:eastAsia="Arial" w:hAnsi="Arial"/>
          <w:sz w:val="19"/>
          <w:szCs w:val="19"/>
          <w:b w:val="1"/>
          <w:bCs w:val="1"/>
          <w:color w:val="auto"/>
        </w:rPr>
        <w:t>Calculating the fair value of a reporting unit, an asset group and an individual asset involves significant estimates and assumptions. These estimates and assumptions include, among others, projected future cash flows, risk-adjusted discount rates, future economic and market conditions, and the determination of appropriate market comparables. Changes in these factors and assumptions used can materially affect the amount of impairment loss recognized in the period the asset was considered impaired.</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Concentrations of Credit Risk</w:t>
      </w:r>
    </w:p>
    <w:p>
      <w:pPr>
        <w:spacing w:after="0" w:line="131"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b w:val="1"/>
          <w:bCs w:val="1"/>
          <w:color w:val="auto"/>
        </w:rPr>
        <w:t>Financial instruments that potentially subject the Company to concentration of credit risk consist of cash, cash equivalents and marketable securities. At December 31, 2025 and 2024, most of the Company’s funds were invested with a registered investment manager and custodied at one financial institution, with operating cash kept at a separate financial institution, and account balances may at times exceed federally insured limits. Management believes that the Company is not subject to unusual or significant credit risk beyond the normal credit risk associated with commercial banking relationships.</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and Cash Equivalents</w:t>
      </w:r>
    </w:p>
    <w:p>
      <w:pPr>
        <w:spacing w:after="0" w:line="131" w:lineRule="exact"/>
        <w:rPr>
          <w:sz w:val="20"/>
          <w:szCs w:val="20"/>
          <w:color w:val="auto"/>
        </w:rPr>
      </w:pPr>
    </w:p>
    <w:p>
      <w:pPr>
        <w:ind w:right="200"/>
        <w:spacing w:after="0" w:line="273" w:lineRule="auto"/>
        <w:rPr>
          <w:sz w:val="20"/>
          <w:szCs w:val="20"/>
          <w:color w:val="auto"/>
        </w:rPr>
      </w:pPr>
      <w:r>
        <w:rPr>
          <w:rFonts w:ascii="Arial" w:cs="Arial" w:eastAsia="Arial" w:hAnsi="Arial"/>
          <w:sz w:val="18"/>
          <w:szCs w:val="18"/>
          <w:b w:val="1"/>
          <w:bCs w:val="1"/>
          <w:color w:val="auto"/>
        </w:rPr>
        <w:t>The Company considers all highly liquid investments purchased with an original maturity of three months or less to be cash equivalents. As of December 31, 2025 and 2024, cash and cash equivalents consisted primarily of bank deposits and money market funds which were unrestricted as to withdrawal or use.</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Allowance for Credit Losses</w:t>
      </w:r>
    </w:p>
    <w:p>
      <w:pPr>
        <w:spacing w:after="0" w:line="131"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b w:val="1"/>
          <w:bCs w:val="1"/>
          <w:color w:val="auto"/>
        </w:rPr>
        <w:t>For available-for-sale securities in an unrealized loss position, the Company first assesses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through earnings. For available-for-sale securities that do not meet the aforementioned criteria, the Company evaluates whether the decline in fair value has resulted from credit losses or other factors. In making this assessment, the Company considers the severity of the impairment, any changes in interest rates, market conditions, changes to the underlying credit ratings and forecasted recovery, among other factors. The credit-related portion of unrealized losses, and any subsequent improvements, are recorded in interest income through an allowance account. Any impairment that has not been recorded through an allowance for credit losses is included in other comprehensive income (loss) on the statements of operations and comprehensive loss.</w:t>
      </w:r>
    </w:p>
    <w:p>
      <w:pPr>
        <w:spacing w:after="0" w:line="98" w:lineRule="exact"/>
        <w:rPr>
          <w:sz w:val="20"/>
          <w:szCs w:val="20"/>
          <w:color w:val="auto"/>
        </w:rPr>
      </w:pPr>
    </w:p>
    <w:p>
      <w:pPr>
        <w:ind w:right="160"/>
        <w:spacing w:after="0" w:line="336" w:lineRule="auto"/>
        <w:rPr>
          <w:sz w:val="20"/>
          <w:szCs w:val="20"/>
          <w:color w:val="auto"/>
        </w:rPr>
      </w:pPr>
      <w:r>
        <w:rPr>
          <w:rFonts w:ascii="Arial" w:cs="Arial" w:eastAsia="Arial" w:hAnsi="Arial"/>
          <w:sz w:val="15"/>
          <w:szCs w:val="15"/>
          <w:b w:val="1"/>
          <w:bCs w:val="1"/>
          <w:color w:val="auto"/>
        </w:rPr>
        <w:t>The Company elected the practical expedient to exclude the applicable accrued interest from both the fair value and amortized costs basis of its available-for-sale securities for purposes of identifying and measuring an impairment. Accrued interest receivable on available-for-sale securities is recorded within cash and cash equivalents on the Company's balance sheets. The Company's accounting policy is to not measure an allowance for credit loss for accrued interest receivable and to write-off any uncollectible accrued interest receivable as a reversal of interest income in a</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87</w:t>
      </w:r>
    </w:p>
    <w:p>
      <w:pPr>
        <w:sectPr>
          <w:pgSz w:w="12240" w:h="15840" w:orient="portrait"/>
          <w:cols w:equalWidth="0" w:num="1">
            <w:col w:w="9700"/>
          </w:cols>
          <w:pgMar w:left="1260" w:top="1089" w:right="1280" w:bottom="181" w:gutter="0" w:footer="0" w:header="0"/>
          <w:type w:val="continuous"/>
        </w:sectPr>
      </w:pPr>
    </w:p>
    <w:bookmarkStart w:id="127" w:name="page128"/>
    <w:bookmarkEnd w:id="127"/>
    <w:p>
      <w:pPr>
        <w:ind w:right="180"/>
        <w:spacing w:after="0" w:line="234" w:lineRule="auto"/>
        <w:rPr>
          <w:sz w:val="20"/>
          <w:szCs w:val="20"/>
          <w:color w:val="auto"/>
        </w:rPr>
      </w:pPr>
      <w:r>
        <w:rPr>
          <w:rFonts w:ascii="Arial" w:cs="Arial" w:eastAsia="Arial" w:hAnsi="Arial"/>
          <w:sz w:val="20"/>
          <w:szCs w:val="20"/>
          <w:b w:val="1"/>
          <w:bCs w:val="1"/>
          <w:color w:val="auto"/>
        </w:rPr>
        <w:t>timely manner, which the Company considers to be in the period in which it determines the accrued interest will not be collected by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Marketable Securities</w:t>
      </w:r>
    </w:p>
    <w:p>
      <w:pPr>
        <w:spacing w:after="0" w:line="13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color w:val="auto"/>
        </w:rPr>
        <w:t>The Company classifies its marketable securities as available-for-sale and records such assets at estimated fair value in the balance sheets, with unrealized gains and non-credit related losses that are determined to be temporary, if any, reported as a component of other comprehensive income (loss) within the statements of operations and comprehensive loss and as a separate component of stockholders’ equity. The Company classifies marketable securities with remaining maturities greater than three months but less than one year as short-term investments, and those with remaining maturities greater than one year are classified as long-term investments. The Company invests its excess cash balances primarily in corporate debt securities. Realized gains and losses are calculated on the specific identification method and recorded as interest income and were immaterial for all periods presented.</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Cash</w:t>
      </w:r>
    </w:p>
    <w:p>
      <w:pPr>
        <w:spacing w:after="0" w:line="131"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b w:val="1"/>
          <w:bCs w:val="1"/>
          <w:color w:val="auto"/>
        </w:rPr>
        <w:t>As of December 31, 2025 and 2024, the Company had short-term and long-term restricted cash deposited with a financial institution. The restricted cash is held in separate bank accounts to support letter of credit agreements related to the Company’s facility leases which expire in 2031 (see Note 6) and corporate credit card program.</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and Equipment</w:t>
      </w:r>
    </w:p>
    <w:p>
      <w:pPr>
        <w:spacing w:after="0" w:line="131"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b w:val="1"/>
          <w:bCs w:val="1"/>
          <w:color w:val="auto"/>
        </w:rPr>
        <w:t>Property and equipment are stated at cost, net of accumulated depreciation and amortization. Depreciation and amortization begin at the time the asset is placed in service. Depreciation and amortization are computed using the straight-line method over the estimated useful lives of the assets of five years. Leasehold improvements are amortized over the shorter of the lease term or the estimated useful lives of the assets. Maintenance and repairs are expensed as incurred. Upon sale or retirement of assets, the cost and accumulated depreciation and amortization are removed from the balance sheet and any resulting gain or loss is reflected in the statement of operations and comprehensive loss in the period realized.</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Cloud Computing Arrangements</w:t>
      </w:r>
    </w:p>
    <w:p>
      <w:pPr>
        <w:spacing w:after="0" w:line="1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color w:val="auto"/>
        </w:rPr>
        <w:t>The Company incurs costs to implement cloud computing arrangements hosted by third party vendors. Costs incurred to implement cloud computing service arrangements are capitalized when incurred during the application development phase, and recognized as prepaid and other assets and other non-current assets on the balance sheet. Implementation costs are subsequently amortized over the expected term of the related cloud service. The carrying value of cloud computing implementation costs are tested for impairment when an event or circumstance indicates that the asset might be impaired. Changes in cloud computing arrangement implementation costs are classified within operating activities in the statements of cash flows. The Company does not consider cloud computing agreements to be material to its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131" w:lineRule="exact"/>
        <w:rPr>
          <w:sz w:val="20"/>
          <w:szCs w:val="20"/>
          <w:color w:val="auto"/>
        </w:rPr>
      </w:pPr>
    </w:p>
    <w:p>
      <w:pPr>
        <w:spacing w:after="0" w:line="320" w:lineRule="auto"/>
        <w:rPr>
          <w:sz w:val="20"/>
          <w:szCs w:val="20"/>
          <w:color w:val="auto"/>
        </w:rPr>
      </w:pPr>
      <w:r>
        <w:rPr>
          <w:rFonts w:ascii="Arial" w:cs="Arial" w:eastAsia="Arial" w:hAnsi="Arial"/>
          <w:sz w:val="15"/>
          <w:szCs w:val="15"/>
          <w:b w:val="1"/>
          <w:bCs w:val="1"/>
          <w:color w:val="auto"/>
        </w:rPr>
        <w:t>Under Accounting Standard Codification Topic 606, Revenue from Contract with Customers (“ASC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606, the following steps are performed: (i) identification of a contract to provide goods or services to a customer; (ii) determination of whether the promised goods or services are performance obligations including whether they are distinct in the context of the contract;</w:t>
      </w:r>
    </w:p>
    <w:p>
      <w:pPr>
        <w:ind w:firstLine="2"/>
        <w:spacing w:after="0" w:line="237" w:lineRule="auto"/>
        <w:tabs>
          <w:tab w:leader="none" w:pos="351"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measurement of the transaction price, including the constraint on variable consideration, if any; (iv) where a contract contains multiple performance obligations, the Company must allocate the transaction price to the performance obligations based on estimated selling prices; and (v) recognition of revenue when (or as) each performance obligation is satisfied.</w:t>
      </w:r>
    </w:p>
    <w:p>
      <w:pPr>
        <w:spacing w:after="0" w:line="133" w:lineRule="exact"/>
        <w:rPr>
          <w:sz w:val="20"/>
          <w:szCs w:val="20"/>
          <w:color w:val="auto"/>
        </w:rPr>
      </w:pPr>
    </w:p>
    <w:p>
      <w:pPr>
        <w:ind w:right="680"/>
        <w:spacing w:after="0" w:line="309" w:lineRule="auto"/>
        <w:rPr>
          <w:sz w:val="20"/>
          <w:szCs w:val="20"/>
          <w:color w:val="auto"/>
        </w:rPr>
      </w:pPr>
      <w:r>
        <w:rPr>
          <w:rFonts w:ascii="Arial" w:cs="Arial" w:eastAsia="Arial" w:hAnsi="Arial"/>
          <w:sz w:val="17"/>
          <w:szCs w:val="17"/>
          <w:b w:val="1"/>
          <w:bCs w:val="1"/>
          <w:color w:val="auto"/>
        </w:rPr>
        <w:t>The Company only applies the five-step model to contracts when it is probable that the Company will collect the consideration it is entitled to in exchange for the goods or services it transfers to the customer.</w:t>
      </w:r>
    </w:p>
    <w:p>
      <w:pPr>
        <w:spacing w:after="0" w:line="75" w:lineRule="exact"/>
        <w:rPr>
          <w:sz w:val="20"/>
          <w:szCs w:val="20"/>
          <w:color w:val="auto"/>
        </w:rPr>
      </w:pPr>
    </w:p>
    <w:p>
      <w:pPr>
        <w:ind w:right="340"/>
        <w:spacing w:after="0" w:line="238" w:lineRule="auto"/>
        <w:rPr>
          <w:sz w:val="20"/>
          <w:szCs w:val="20"/>
          <w:color w:val="auto"/>
        </w:rPr>
      </w:pPr>
      <w:r>
        <w:rPr>
          <w:rFonts w:ascii="Arial" w:cs="Arial" w:eastAsia="Arial" w:hAnsi="Arial"/>
          <w:sz w:val="20"/>
          <w:szCs w:val="20"/>
          <w:b w:val="1"/>
          <w:bCs w:val="1"/>
          <w:color w:val="auto"/>
        </w:rPr>
        <w:t>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88</w:t>
      </w:r>
    </w:p>
    <w:p>
      <w:pPr>
        <w:sectPr>
          <w:pgSz w:w="12240" w:h="15840" w:orient="portrait"/>
          <w:cols w:equalWidth="0" w:num="1">
            <w:col w:w="9700"/>
          </w:cols>
          <w:pgMar w:left="1260" w:top="1089" w:right="1280" w:bottom="181" w:gutter="0" w:footer="0" w:header="0"/>
          <w:type w:val="continuous"/>
        </w:sectPr>
      </w:pPr>
    </w:p>
    <w:bookmarkStart w:id="128" w:name="page129"/>
    <w:bookmarkEnd w:id="128"/>
    <w:p>
      <w:pPr>
        <w:spacing w:after="0" w:line="288" w:lineRule="auto"/>
        <w:rPr>
          <w:sz w:val="20"/>
          <w:szCs w:val="20"/>
          <w:color w:val="auto"/>
        </w:rPr>
      </w:pPr>
      <w:r>
        <w:rPr>
          <w:rFonts w:ascii="Arial" w:cs="Arial" w:eastAsia="Arial" w:hAnsi="Arial"/>
          <w:sz w:val="17"/>
          <w:szCs w:val="17"/>
          <w:b w:val="1"/>
          <w:bCs w:val="1"/>
          <w:color w:val="auto"/>
        </w:rPr>
        <w:t>As part of the accounting for these arrangements, the Company develops assumptions that require judgment to determine the stand-alone selling price for each performance obligation identified in the contract. The Company uses key assumptions to determine the stand-alone selling price, which may include development timelines, reimbursement rates for personnel costs, discount rates, and probabilities of technical and regulatory success. The Company evaluates each performance obligation and determines if it is satisfied over time. In addition, variable consideration must be evaluated to determine if it is constrained and, therefore, excluded from the transaction price.</w:t>
      </w:r>
    </w:p>
    <w:p>
      <w:pPr>
        <w:spacing w:after="0" w:line="93" w:lineRule="exact"/>
        <w:rPr>
          <w:sz w:val="20"/>
          <w:szCs w:val="20"/>
          <w:color w:val="auto"/>
        </w:rPr>
      </w:pPr>
    </w:p>
    <w:p>
      <w:pPr>
        <w:ind w:right="100"/>
        <w:spacing w:after="0" w:line="252" w:lineRule="auto"/>
        <w:rPr>
          <w:sz w:val="20"/>
          <w:szCs w:val="20"/>
          <w:color w:val="auto"/>
        </w:rPr>
      </w:pPr>
      <w:r>
        <w:rPr>
          <w:rFonts w:ascii="Arial" w:cs="Arial" w:eastAsia="Arial" w:hAnsi="Arial"/>
          <w:sz w:val="19"/>
          <w:szCs w:val="19"/>
          <w:b w:val="1"/>
          <w:bCs w:val="1"/>
          <w:color w:val="auto"/>
        </w:rPr>
        <w:t>The Company constrains the estimates of variable consideration such that it is probable that a significant reversal of previously recognized revenue will not occur in future reporting periods. When determining if variable consideration should be constrained, management considers whether there are factors outside the Company’s control that increase the likelihood of a significant reversal of previously recognized revenue and revenue-related amounts in future reporting periods. These estimates are re-assessed each reporting period as necessary depending on the facts and circumstances of each contract.</w:t>
      </w:r>
    </w:p>
    <w:p>
      <w:pPr>
        <w:spacing w:after="0" w:line="12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color w:val="auto"/>
        </w:rPr>
        <w:t>If the license to the Company’s intellectual property is determined to be distinct from the other performance obligations identified in the arrangement, the Company recognizes revenues allocated to the license when the license is transferred to the customer and the customer is able to use and benefit from the license. For licenses that are bundled with other promised goods or services,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Any change made to estimated progress towards completion of a performance obligation due to changes in the estimated activities required to complete the performance obligation and, therefore, revenue recognized will be recorded as a change in estimate.</w:t>
      </w:r>
    </w:p>
    <w:p>
      <w:pPr>
        <w:spacing w:after="0" w:line="108"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The Company receives payments from its collaborators based on billing schedules established in each contract. Upfront payments and other payments may require deferral of revenue recognition to a future period until the Company performs its obligation under its collaboration arrangements. Amounts are recorded as accounts receivable when the Company’s right to consideration is unconditional. The Company does not assess whether a contract has a significant financing component if the expectation at contract inception is such that the payment by the customer is akin to a deposit for research and development services.</w:t>
      </w:r>
    </w:p>
    <w:p>
      <w:pPr>
        <w:spacing w:after="0" w:line="108" w:lineRule="exact"/>
        <w:rPr>
          <w:sz w:val="20"/>
          <w:szCs w:val="20"/>
          <w:color w:val="auto"/>
        </w:rPr>
      </w:pPr>
    </w:p>
    <w:p>
      <w:pPr>
        <w:ind w:right="1500"/>
        <w:spacing w:after="0" w:line="354" w:lineRule="auto"/>
        <w:rPr>
          <w:sz w:val="20"/>
          <w:szCs w:val="20"/>
          <w:color w:val="auto"/>
        </w:rPr>
      </w:pPr>
      <w:r>
        <w:rPr>
          <w:rFonts w:ascii="Arial" w:cs="Arial" w:eastAsia="Arial" w:hAnsi="Arial"/>
          <w:sz w:val="20"/>
          <w:szCs w:val="20"/>
          <w:b w:val="1"/>
          <w:bCs w:val="1"/>
          <w:color w:val="auto"/>
        </w:rPr>
        <w:t>To date, all of the Company’s revenue has been derived from its collaboration agreements, see Note 5. Research and Development Expenses</w:t>
      </w:r>
    </w:p>
    <w:p>
      <w:pPr>
        <w:spacing w:after="0" w:line="22"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b w:val="1"/>
          <w:bCs w:val="1"/>
          <w:color w:val="auto"/>
        </w:rPr>
        <w:t>Research and development costs are charged to expense as incurred. Research and development expenses include certain payroll and personnel expenses, laboratory supplies, consulting costs, external contract research and development expenses, and allocated overhead, including rent, equipment depreciation and utilities. Advance payments for goods or services for future research and development activities are deferred and expensed as the goods are delivered or the related services are performed.</w:t>
      </w:r>
    </w:p>
    <w:p>
      <w:pPr>
        <w:spacing w:after="0" w:line="123"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The Company estimates preclinical studies and clinical trial expenses based on the services performed pursuant to contracts with research institutions and clinical research organizations that conduct and manage preclinical studies and trials on the Company’s behalf. In accruing service fees, the Company estimates the time period over which services will be performed and the level of effort to be expended in each period. These estimates are based on communications with the third-party service providers and the Company’s estimates of accrued expenses and on information available at each balance sheet date. If the actual timing of the performance of services or the level of effort varies from the estimate, the Company will adjust the accrual accordingly.</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Tax Incentive</w:t>
      </w:r>
    </w:p>
    <w:p>
      <w:pPr>
        <w:spacing w:after="0" w:line="239"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b w:val="1"/>
          <w:bCs w:val="1"/>
          <w:color w:val="auto"/>
        </w:rPr>
        <w:t>The Company is eligible to receive a cash refund from the Australian Taxation Office for eligible research and development (“R&amp;D”) expenditures under the Australian R&amp;D Tax Incentive Program (the “R&amp;D Tax Incentive”). The R&amp;D Tax Incentive is recognized as a reduction to R&amp;D expense when the relevant expenditure has been incurred, the amount can be reliably measured and it is probable that the R&amp;D Tax Incentive will be received. The Company has not recorded any reductions to R&amp;D expense under the R&amp;D Tax Incentive as it is not reasonably assured that the criteria have been met. The Company has not received any cash refunds under this program.</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Measurements</w:t>
      </w:r>
    </w:p>
    <w:p>
      <w:pPr>
        <w:spacing w:after="0" w:line="131" w:lineRule="exact"/>
        <w:rPr>
          <w:sz w:val="20"/>
          <w:szCs w:val="20"/>
          <w:color w:val="auto"/>
        </w:rPr>
      </w:pPr>
    </w:p>
    <w:p>
      <w:pPr>
        <w:ind w:right="20"/>
        <w:spacing w:after="0" w:line="385" w:lineRule="auto"/>
        <w:rPr>
          <w:sz w:val="20"/>
          <w:szCs w:val="20"/>
          <w:color w:val="auto"/>
        </w:rPr>
      </w:pPr>
      <w:r>
        <w:rPr>
          <w:rFonts w:ascii="Arial" w:cs="Arial" w:eastAsia="Arial" w:hAnsi="Arial"/>
          <w:sz w:val="15"/>
          <w:szCs w:val="15"/>
          <w:b w:val="1"/>
          <w:bCs w:val="1"/>
          <w:color w:val="auto"/>
        </w:rPr>
        <w:t>Fair value is defined as the price that would be received to sell an asset or paid to transfer a liability in an orderly transaction between market participants at the measurement date. As such, fair value is a market-based measurement that</w:t>
      </w:r>
    </w:p>
    <w:p>
      <w:pPr>
        <w:sectPr>
          <w:pgSz w:w="12240" w:h="15840" w:orient="portrait"/>
          <w:cols w:equalWidth="0" w:num="1">
            <w:col w:w="9700"/>
          </w:cols>
          <w:pgMar w:left="1260" w:top="1089" w:right="1280" w:bottom="181"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89</w:t>
      </w:r>
    </w:p>
    <w:p>
      <w:pPr>
        <w:sectPr>
          <w:pgSz w:w="12240" w:h="15840" w:orient="portrait"/>
          <w:cols w:equalWidth="0" w:num="1">
            <w:col w:w="9700"/>
          </w:cols>
          <w:pgMar w:left="1260" w:top="1089" w:right="1280" w:bottom="181" w:gutter="0" w:footer="0" w:header="0"/>
          <w:type w:val="continuous"/>
        </w:sectPr>
      </w:pPr>
    </w:p>
    <w:bookmarkStart w:id="129" w:name="page130"/>
    <w:bookmarkEnd w:id="129"/>
    <w:p>
      <w:pPr>
        <w:ind w:right="140"/>
        <w:spacing w:after="0" w:line="270" w:lineRule="auto"/>
        <w:rPr>
          <w:sz w:val="20"/>
          <w:szCs w:val="20"/>
          <w:color w:val="auto"/>
        </w:rPr>
      </w:pPr>
      <w:r>
        <w:rPr>
          <w:rFonts w:ascii="Arial" w:cs="Arial" w:eastAsia="Arial" w:hAnsi="Arial"/>
          <w:sz w:val="18"/>
          <w:szCs w:val="18"/>
          <w:b w:val="1"/>
          <w:bCs w:val="1"/>
          <w:color w:val="auto"/>
        </w:rPr>
        <w:t>should be determined based on assumptions that market participants would use in pricing an asset or liability. Cash and cash equivalents, restricted cash, marketable debt securities, accounts payable, accrued expenses and other current liabilities are reported at their respective fair values in our balance sheets. The carrying amount of the remaining financial instruments approximate fair value due to their short-term nature. Refer to Note 3 for the methodologies and assumptions used in valuing financial instruments.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Leases</w:t>
      </w:r>
    </w:p>
    <w:p>
      <w:pPr>
        <w:spacing w:after="0" w:line="131"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b w:val="1"/>
          <w:bCs w:val="1"/>
          <w:color w:val="auto"/>
        </w:rPr>
        <w:t>The Company determines whether an arrangement is a lease at inception. Specifically, it considers whether it controls the underlying asset and has the right to obtain substantially all the economic benefits or outputs from the asset. If the contractual arrangement contains a lease, the Company then determines the classification of the lease, operating or finance, using the classification criteria described in Accounting Standard Codification Topic 842, Leases (“ASC 842”). The Company has elected not to separate lease components from non-lease components, such as common area maintenance charges, and instead accounts for the lease and non-lease components as a single component.</w:t>
      </w:r>
    </w:p>
    <w:p>
      <w:pPr>
        <w:spacing w:after="0" w:line="93"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b w:val="1"/>
          <w:bCs w:val="1"/>
          <w:color w:val="auto"/>
        </w:rPr>
        <w:t>At the commencement date of a lease, the Company recognizes lease liabilities which represent its obligation to make lease payments, and right-of-use assets (“ROU assets”) which represent its right to use the underlying asset during the lease term. The lease liability is measured at the present value of lease payments over the lease term. As the Company’s leases typically do not provide an implicit rate, the Company uses its incremental borrowing rate based on the information available at the lease commencement date. The incremental borrowing rate is estimated based on the Company's estimated credit rating and available market information for borrowings with similar terms and economic characteristics. The ROU asset is measured at cost, which includes the initial measurement of the lease liability and initial direct costs incurred by the Company and excludes lease incentives. ROU assets are recorded in operating lease ROU assets and lease liabilities are recorded in operating lease liabilities, current and noncurrent in the balance sheets.</w:t>
      </w:r>
    </w:p>
    <w:p>
      <w:pPr>
        <w:spacing w:after="0" w:line="74" w:lineRule="exact"/>
        <w:rPr>
          <w:sz w:val="20"/>
          <w:szCs w:val="20"/>
          <w:color w:val="auto"/>
        </w:rPr>
      </w:pPr>
    </w:p>
    <w:p>
      <w:pPr>
        <w:jc w:val="both"/>
        <w:ind w:right="320"/>
        <w:spacing w:after="0" w:line="353" w:lineRule="auto"/>
        <w:rPr>
          <w:sz w:val="20"/>
          <w:szCs w:val="20"/>
          <w:color w:val="auto"/>
        </w:rPr>
      </w:pPr>
      <w:r>
        <w:rPr>
          <w:rFonts w:ascii="Arial" w:cs="Arial" w:eastAsia="Arial" w:hAnsi="Arial"/>
          <w:sz w:val="15"/>
          <w:szCs w:val="15"/>
          <w:b w:val="1"/>
          <w:bCs w:val="1"/>
          <w:color w:val="auto"/>
        </w:rPr>
        <w:t>Lease terms may include options to extend or terminate the lease when it is reasonably certain that the Company will exercise that option. Operating lease expense is recognized on a straight-line basis over the lease term. The Company does not recognize lease liabilities and ROU assets for short-term leases with terms of twelve months or less.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 Expense</w:t>
      </w:r>
    </w:p>
    <w:p>
      <w:pPr>
        <w:spacing w:after="0" w:line="131"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b w:val="1"/>
          <w:bCs w:val="1"/>
          <w:color w:val="auto"/>
        </w:rPr>
        <w:t>The Company accounts for stock-based compensation by measuring and recognizing compensation expense for all share-based payments made to employees and non-employees based on estimated grant-date fair values. For stock-based payments with service conditions only, the Company uses the straight-line method to allocate compensation cost to reporting periods over each award’s requisite service period, which is generally the vesting period. For stock-based payments with both performance and service conditions, the Company recognizes expense based on the fair value of the performance awards over the estimated service period (under the graded vesting method) to the extent the achievement of the related performance criteria is estimated to be probable. The grant date fair value is utilized for restricted stock awards and the fair value of each stock option grant is estimated on the date of grant using the Black-Scholes model. The Black-Scholes model requires the input of subjective assumptions, including expected volatility, expected dividend yield, expected term, risk-free interest rate, and the estimated fair value of the underlying common stock on the date of grant. The Company accounts for forfeitures as they occur.</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7"/>
          <w:szCs w:val="17"/>
          <w:b w:val="1"/>
          <w:bCs w:val="1"/>
          <w:color w:val="auto"/>
        </w:rPr>
        <w:t>The Company accounts for income taxes using the asset and liability method. Under this method, deferred tax assets and liabilities are determined based on differences between financial reporting and tax reporting bases of assets and liabilities and are measured using enacted tax rates and laws that are expected to be in effect when the differences are expected to reverse. Changes in deferred tax assets and liabilities are recorded in the provision for income taxes.</w:t>
      </w:r>
    </w:p>
    <w:p>
      <w:pPr>
        <w:spacing w:after="0" w:line="91" w:lineRule="exact"/>
        <w:rPr>
          <w:sz w:val="20"/>
          <w:szCs w:val="20"/>
          <w:color w:val="auto"/>
        </w:rPr>
      </w:pPr>
    </w:p>
    <w:p>
      <w:pPr>
        <w:ind w:right="280"/>
        <w:spacing w:after="0" w:line="386" w:lineRule="auto"/>
        <w:rPr>
          <w:sz w:val="20"/>
          <w:szCs w:val="20"/>
          <w:color w:val="auto"/>
        </w:rPr>
      </w:pPr>
      <w:r>
        <w:rPr>
          <w:rFonts w:ascii="Arial" w:cs="Arial" w:eastAsia="Arial" w:hAnsi="Arial"/>
          <w:sz w:val="15"/>
          <w:szCs w:val="15"/>
          <w:b w:val="1"/>
          <w:bCs w:val="1"/>
          <w:color w:val="auto"/>
        </w:rPr>
        <w:t>Realization of deferred tax assets is dependent upon future earnings, the timing and amount of which are uncertain. A valuation allowance is provided against deferred tax assets unless it is more likely than not that they will be realized.</w:t>
      </w:r>
    </w:p>
    <w:p>
      <w:pPr>
        <w:spacing w:after="0" w:line="26"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b w:val="1"/>
          <w:bCs w:val="1"/>
          <w:color w:val="auto"/>
        </w:rPr>
        <w:t>The Company utilizes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is to recognize interest and penalties related to the underpayment of income taxes as a component of income tax expense or benefit. To date, there have been no interest or penalties charged in relation to the unrecognized tax benefits.</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90</w:t>
      </w:r>
    </w:p>
    <w:p>
      <w:pPr>
        <w:sectPr>
          <w:pgSz w:w="12240" w:h="15840" w:orient="portrait"/>
          <w:cols w:equalWidth="0" w:num="1">
            <w:col w:w="9700"/>
          </w:cols>
          <w:pgMar w:left="1260" w:top="1089" w:right="1280" w:bottom="181" w:gutter="0" w:footer="0" w:header="0"/>
          <w:type w:val="continuous"/>
        </w:sectPr>
      </w:pPr>
    </w:p>
    <w:bookmarkStart w:id="130" w:name="page131"/>
    <w:bookmarkEnd w:id="130"/>
    <w:p>
      <w:pPr>
        <w:spacing w:after="0"/>
        <w:rPr>
          <w:sz w:val="20"/>
          <w:szCs w:val="20"/>
          <w:color w:val="auto"/>
        </w:rPr>
      </w:pPr>
      <w:r>
        <w:rPr>
          <w:rFonts w:ascii="Arial" w:cs="Arial" w:eastAsia="Arial" w:hAnsi="Arial"/>
          <w:sz w:val="20"/>
          <w:szCs w:val="20"/>
          <w:b w:val="1"/>
          <w:bCs w:val="1"/>
          <w:color w:val="auto"/>
        </w:rPr>
        <w:t>Net Loss Per Share</w:t>
      </w:r>
    </w:p>
    <w:p>
      <w:pPr>
        <w:spacing w:after="0" w:line="131" w:lineRule="exact"/>
        <w:rPr>
          <w:sz w:val="20"/>
          <w:szCs w:val="20"/>
          <w:color w:val="auto"/>
        </w:rPr>
      </w:pPr>
    </w:p>
    <w:p>
      <w:pPr>
        <w:ind w:right="60"/>
        <w:spacing w:after="0" w:line="326" w:lineRule="auto"/>
        <w:rPr>
          <w:sz w:val="20"/>
          <w:szCs w:val="20"/>
          <w:color w:val="auto"/>
        </w:rPr>
      </w:pPr>
      <w:r>
        <w:rPr>
          <w:rFonts w:ascii="Arial" w:cs="Arial" w:eastAsia="Arial" w:hAnsi="Arial"/>
          <w:sz w:val="15"/>
          <w:szCs w:val="15"/>
          <w:b w:val="1"/>
          <w:bCs w:val="1"/>
          <w:color w:val="auto"/>
        </w:rPr>
        <w:t>Basic net loss per share is calculated by dividing the net loss by the weighted-average number of shares of common stock outstanding during the period, without consideration for potentially dilutive securities. Diluted net loss per share is computed by dividing the net loss by the weighted-average number of common stock and potentially dilutive securities outstanding for the period. For purposes of the diluted net loss per share calculation, stock options, common stock subject to repurchase related to unvested restricted stock awards and early exercise of stock options are considered potentially dilutive securities. Basic and diluted net loss per share is presented in conformity with the two-class method required for participating securities. The Company considers the shares issued upon the early exercise of stock options subject to repurchase to be participating securities because holders of such shares have non-forfeitable dividend rights in the event a dividend is paid on common stock. The holders of early exercised shares subject to repurchase do not have a contractual obligation to share in the Company’s losses. As such, the net loss was attributed entirely to common stockholders. Because the Company has reported a net loss for all periods presented, diluted net loss per share is the same as basic net loss per share for all periods presented as potentially dilutive securities were anti-dilutive.</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Comprehensive Loss</w:t>
      </w:r>
    </w:p>
    <w:p>
      <w:pPr>
        <w:spacing w:after="0" w:line="129" w:lineRule="exact"/>
        <w:rPr>
          <w:sz w:val="20"/>
          <w:szCs w:val="20"/>
          <w:color w:val="auto"/>
        </w:rPr>
      </w:pPr>
    </w:p>
    <w:p>
      <w:pPr>
        <w:ind w:right="300"/>
        <w:spacing w:after="0" w:line="237" w:lineRule="auto"/>
        <w:rPr>
          <w:sz w:val="20"/>
          <w:szCs w:val="20"/>
          <w:color w:val="auto"/>
        </w:rPr>
      </w:pPr>
      <w:r>
        <w:rPr>
          <w:rFonts w:ascii="Arial" w:cs="Arial" w:eastAsia="Arial" w:hAnsi="Arial"/>
          <w:sz w:val="20"/>
          <w:szCs w:val="20"/>
          <w:b w:val="1"/>
          <w:bCs w:val="1"/>
          <w:color w:val="auto"/>
        </w:rPr>
        <w:t>Comprehensive loss includes all changes in equity (net assets) during a period from non-owner sources, including unrealized gains and losses on marketable securities. The Company incurred a net unrealized loss on marketable securities of $0.1 million and a net unrealized gain $0.1 million during the years ended December 31, 2025 and 2024,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Reporting</w:t>
      </w:r>
    </w:p>
    <w:p>
      <w:pPr>
        <w:spacing w:after="0" w:line="131"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b w:val="1"/>
          <w:bCs w:val="1"/>
          <w:color w:val="auto"/>
        </w:rPr>
        <w:t>Operating segments are defined as components of an entity where discrete financial information is evaluated regularly by the chief operating decision maker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Adopted Accounting Standards</w:t>
      </w:r>
    </w:p>
    <w:p>
      <w:pPr>
        <w:spacing w:after="0" w:line="128"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b w:val="1"/>
          <w:bCs w:val="1"/>
          <w:color w:val="auto"/>
        </w:rPr>
        <w:t>In December 2023, the FASB issued ASU 2023-09, Income Taxes (Topic 740): Improvements to Income Tax Disclosures, which requires enhanced disclosures related to the effective tax rate reconciliation and income taxes paid. The standard is effective for annual periods beginning after December 15, 2024, and may be applied on a prospective or retrospective basis. The Company adopted the ASU retrospectively for the period ending December 31, 2025, and it affects only its disclosures and does not impact the results of operations or financial condition.</w:t>
      </w:r>
    </w:p>
    <w:p>
      <w:pPr>
        <w:spacing w:after="0" w:line="91"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b w:val="1"/>
          <w:bCs w:val="1"/>
          <w:color w:val="auto"/>
        </w:rPr>
        <w:t>In July 2025, the FASB issued ASU 2025-05, Financial Instruments—Credit Losses (Topic 326): Measurement of Credit Losses for Accounts Receivable and Contract Assets, which introduces a practical expedient permitting all entities to assume that current conditions as of the balance sheet date will remain unchanged for the life of the asset when estimating expected credit losses under ASC 606. For entities other than public business entities, the ASU also allows an accounting policy election to consider cash collections received after the balance-sheet date in their estimates. An entity that makes this election must disclose the date through which subsequent collections are evaluated. The ASU is effective for annual reporting periods beginning after December 15, 2025, including interim periods within those years, with early adoption permitted. The Company adopted the ASU retrospectively for the period ending December 31, 2025, and it has no impact on its disclosures and does not impact the results of operations or financial condition.</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Standards</w:t>
      </w:r>
    </w:p>
    <w:p>
      <w:pPr>
        <w:spacing w:after="0" w:line="131"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b w:val="1"/>
          <w:bCs w:val="1"/>
          <w:color w:val="auto"/>
        </w:rPr>
        <w:t>From time to time, new accounting standards are issued by the Financial Accounting Standards Board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22"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In November 2024, the FASB issued ASU 2024-03, Income Statement - Reporting Comprehensive Income - Expense Disaggregation Disclosures (Subtopic 220-40), which is intended to enhance transparency into the nature and function of expenses, primarily through additional disclosures on certain cost and expenses. ASU 2024-03 should be applied on a prospective basis, and retrospective application is permitted. ASU 2024-03 is effective for annual periods beginning after December 15, 2026, and interim reporting periods beginning after December 15, 2027. Early adoption is permitted. The Company is currently evaluating the impact of this guidance; at this time it does not expect it to have a material impact on its consolidated financial statement disclosures.</w:t>
      </w:r>
    </w:p>
    <w:p>
      <w:pPr>
        <w:sectPr>
          <w:pgSz w:w="12240" w:h="15840" w:orient="portrait"/>
          <w:cols w:equalWidth="0" w:num="1">
            <w:col w:w="9700"/>
          </w:cols>
          <w:pgMar w:left="1260" w:top="1079" w:right="1280" w:bottom="181"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91</w:t>
      </w:r>
    </w:p>
    <w:p>
      <w:pPr>
        <w:sectPr>
          <w:pgSz w:w="12240" w:h="15840" w:orient="portrait"/>
          <w:cols w:equalWidth="0" w:num="1">
            <w:col w:w="9700"/>
          </w:cols>
          <w:pgMar w:left="1260" w:top="1079" w:right="1280" w:bottom="181" w:gutter="0" w:footer="0" w:header="0"/>
          <w:type w:val="continuous"/>
        </w:sectPr>
      </w:pPr>
    </w:p>
    <w:bookmarkStart w:id="131" w:name="page132"/>
    <w:bookmarkEnd w:id="131"/>
    <w:p>
      <w:pPr>
        <w:ind w:right="40"/>
        <w:spacing w:after="0" w:line="269" w:lineRule="auto"/>
        <w:rPr>
          <w:sz w:val="20"/>
          <w:szCs w:val="20"/>
          <w:color w:val="auto"/>
        </w:rPr>
      </w:pPr>
      <w:r>
        <w:rPr>
          <w:rFonts w:ascii="Arial" w:cs="Arial" w:eastAsia="Arial" w:hAnsi="Arial"/>
          <w:sz w:val="18"/>
          <w:szCs w:val="18"/>
          <w:b w:val="1"/>
          <w:bCs w:val="1"/>
          <w:color w:val="auto"/>
        </w:rPr>
        <w:t>In May 2025, the FASB issued ASU 2025-04, Revenue from Contracts with Customers (Topic 606) and Compensation—Stock Compensation (Topic 718): Share-Based Consideration Payable to a Customer, to clarify the accounting treatment for equity instruments granted to customers. The guidance is effective for fiscal years beginning after December 15, 2026, and interim periods within those fiscal years. Early adoption is permitted. The Company is currently evaluating the impact of this standard on its financial statements and related disclosures; at this time it does not expect it to materially affect its consolidated financial statements.</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Fair Value Measurements and Fair Value of Financial Instruments</w:t>
      </w:r>
    </w:p>
    <w:p>
      <w:pPr>
        <w:spacing w:after="0" w:line="131" w:lineRule="exact"/>
        <w:rPr>
          <w:sz w:val="20"/>
          <w:szCs w:val="20"/>
          <w:color w:val="auto"/>
        </w:rPr>
      </w:pPr>
    </w:p>
    <w:p>
      <w:pPr>
        <w:ind w:right="160"/>
        <w:spacing w:after="0" w:line="233" w:lineRule="auto"/>
        <w:rPr>
          <w:sz w:val="20"/>
          <w:szCs w:val="20"/>
          <w:color w:val="auto"/>
        </w:rPr>
      </w:pPr>
      <w:r>
        <w:rPr>
          <w:rFonts w:ascii="Arial" w:cs="Arial" w:eastAsia="Arial" w:hAnsi="Arial"/>
          <w:sz w:val="20"/>
          <w:szCs w:val="20"/>
          <w:b w:val="1"/>
          <w:bCs w:val="1"/>
          <w:color w:val="auto"/>
        </w:rPr>
        <w:t>The authoritative guidance on fair value measurements establishes a three-tier fair value hierarchy for disclosure of fair value measurements as follows:</w:t>
      </w:r>
    </w:p>
    <w:p>
      <w:pPr>
        <w:spacing w:after="0" w:line="241"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Level 1—Quoted prices in active markets for identical assets or liabilities.</w:t>
      </w:r>
    </w:p>
    <w:p>
      <w:pPr>
        <w:spacing w:after="0" w:line="251" w:lineRule="exact"/>
        <w:rPr>
          <w:sz w:val="20"/>
          <w:szCs w:val="20"/>
          <w:color w:val="auto"/>
        </w:rPr>
      </w:pPr>
    </w:p>
    <w:p>
      <w:pPr>
        <w:jc w:val="both"/>
        <w:ind w:right="60" w:firstLine="492"/>
        <w:spacing w:after="0" w:line="236" w:lineRule="auto"/>
        <w:rPr>
          <w:sz w:val="20"/>
          <w:szCs w:val="20"/>
          <w:color w:val="auto"/>
        </w:rPr>
      </w:pPr>
      <w:r>
        <w:rPr>
          <w:rFonts w:ascii="Arial" w:cs="Arial" w:eastAsia="Arial" w:hAnsi="Arial"/>
          <w:sz w:val="20"/>
          <w:szCs w:val="20"/>
          <w:b w:val="1"/>
          <w:bCs w:val="1"/>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53" w:lineRule="exact"/>
        <w:rPr>
          <w:sz w:val="20"/>
          <w:szCs w:val="20"/>
          <w:color w:val="auto"/>
        </w:rPr>
      </w:pPr>
    </w:p>
    <w:p>
      <w:pPr>
        <w:ind w:right="180" w:firstLine="492"/>
        <w:spacing w:after="0" w:line="233" w:lineRule="auto"/>
        <w:rPr>
          <w:sz w:val="20"/>
          <w:szCs w:val="20"/>
          <w:color w:val="auto"/>
        </w:rPr>
      </w:pPr>
      <w:r>
        <w:rPr>
          <w:rFonts w:ascii="Arial" w:cs="Arial" w:eastAsia="Arial" w:hAnsi="Arial"/>
          <w:sz w:val="20"/>
          <w:szCs w:val="20"/>
          <w:b w:val="1"/>
          <w:bCs w:val="1"/>
          <w:color w:val="auto"/>
        </w:rPr>
        <w:t>Level 3—Unobservable inputs that are supported by little or no market activity and that are significant to the fair value of the assets or liabilities.</w:t>
      </w:r>
    </w:p>
    <w:p>
      <w:pPr>
        <w:spacing w:after="0" w:line="252"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b w:val="1"/>
          <w:bCs w:val="1"/>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53" w:lineRule="exact"/>
        <w:rPr>
          <w:sz w:val="20"/>
          <w:szCs w:val="20"/>
          <w:color w:val="auto"/>
        </w:rPr>
      </w:pPr>
    </w:p>
    <w:p>
      <w:pPr>
        <w:spacing w:after="0" w:line="252" w:lineRule="auto"/>
        <w:rPr>
          <w:sz w:val="20"/>
          <w:szCs w:val="20"/>
          <w:color w:val="auto"/>
        </w:rPr>
      </w:pPr>
      <w:r>
        <w:rPr>
          <w:rFonts w:ascii="Arial" w:cs="Arial" w:eastAsia="Arial" w:hAnsi="Arial"/>
          <w:sz w:val="19"/>
          <w:szCs w:val="19"/>
          <w:b w:val="1"/>
          <w:bCs w:val="1"/>
          <w:color w:val="auto"/>
        </w:rPr>
        <w:t>During the years ended December 31, 2025 and 2024, financial assets measured on a recurring basis consist of cash invested in money market accounts, short-term investments, and long-term investments. The fair value of short and long-term investments is based upon market prices quoted on the last day of the fiscal period or other observable market inputs. The Company obtains pricing information from its investment manager and generally determines the fair value of investment securities using standard observable inputs, including reported trades, broker/dealer quotes, bids and/or offers.</w:t>
      </w:r>
    </w:p>
    <w:p>
      <w:pPr>
        <w:spacing w:after="0" w:line="244" w:lineRule="exact"/>
        <w:rPr>
          <w:sz w:val="20"/>
          <w:szCs w:val="20"/>
          <w:color w:val="auto"/>
        </w:rPr>
      </w:pPr>
    </w:p>
    <w:p>
      <w:pPr>
        <w:ind w:right="380"/>
        <w:spacing w:after="0" w:line="233" w:lineRule="auto"/>
        <w:rPr>
          <w:sz w:val="20"/>
          <w:szCs w:val="20"/>
          <w:color w:val="auto"/>
        </w:rPr>
      </w:pPr>
      <w:r>
        <w:rPr>
          <w:rFonts w:ascii="Arial" w:cs="Arial" w:eastAsia="Arial" w:hAnsi="Arial"/>
          <w:sz w:val="20"/>
          <w:szCs w:val="20"/>
          <w:b w:val="1"/>
          <w:bCs w:val="1"/>
          <w:color w:val="auto"/>
        </w:rPr>
        <w:t>There were no transfers in or out of Level 3 fair value measurements during the years ended December 31, 2025 and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all of which are classified as available-for-sale securities, consisted of the following at</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2025 and 2024 (in thousands):</w:t>
      </w:r>
    </w:p>
    <w:p>
      <w:pPr>
        <w:spacing w:after="0" w:line="244"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December 31, 2025</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4"/>
        </w:trPr>
        <w:tc>
          <w:tcPr>
            <w:tcW w:w="2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jc w:val="center"/>
              <w:ind w:right="306"/>
              <w:spacing w:after="0"/>
              <w:rPr>
                <w:sz w:val="20"/>
                <w:szCs w:val="20"/>
                <w:color w:val="auto"/>
              </w:rPr>
            </w:pPr>
            <w:r>
              <w:rPr>
                <w:rFonts w:ascii="Arial" w:cs="Arial" w:eastAsia="Arial" w:hAnsi="Arial"/>
                <w:sz w:val="16"/>
                <w:szCs w:val="16"/>
                <w:b w:val="1"/>
                <w:bCs w:val="1"/>
                <w:color w:val="auto"/>
                <w:w w:val="91"/>
              </w:rPr>
              <w:t>Amortized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27"/>
              <w:spacing w:after="0"/>
              <w:rPr>
                <w:sz w:val="20"/>
                <w:szCs w:val="20"/>
                <w:color w:val="auto"/>
              </w:rPr>
            </w:pPr>
            <w:r>
              <w:rPr>
                <w:rFonts w:ascii="Arial" w:cs="Arial" w:eastAsia="Arial" w:hAnsi="Arial"/>
                <w:sz w:val="16"/>
                <w:szCs w:val="16"/>
                <w:b w:val="1"/>
                <w:bCs w:val="1"/>
                <w:color w:val="auto"/>
                <w:w w:val="96"/>
              </w:rPr>
              <w:t>Unrealized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166"/>
              <w:spacing w:after="0"/>
              <w:rPr>
                <w:sz w:val="20"/>
                <w:szCs w:val="20"/>
                <w:color w:val="auto"/>
              </w:rPr>
            </w:pPr>
            <w:r>
              <w:rPr>
                <w:rFonts w:ascii="Arial" w:cs="Arial" w:eastAsia="Arial" w:hAnsi="Arial"/>
                <w:sz w:val="16"/>
                <w:szCs w:val="16"/>
                <w:b w:val="1"/>
                <w:bCs w:val="1"/>
                <w:color w:val="auto"/>
                <w:w w:val="91"/>
              </w:rPr>
              <w:t>Unrealized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ind w:left="80"/>
              <w:spacing w:after="0"/>
              <w:rPr>
                <w:sz w:val="20"/>
                <w:szCs w:val="20"/>
                <w:color w:val="auto"/>
              </w:rPr>
            </w:pPr>
            <w:r>
              <w:rPr>
                <w:rFonts w:ascii="Arial" w:cs="Arial" w:eastAsia="Arial" w:hAnsi="Arial"/>
                <w:sz w:val="16"/>
                <w:szCs w:val="16"/>
                <w:b w:val="1"/>
                <w:bCs w:val="1"/>
                <w:color w:val="auto"/>
              </w:rPr>
              <w:t>Estimated</w:t>
            </w:r>
          </w:p>
        </w:tc>
      </w:tr>
      <w:tr>
        <w:trPr>
          <w:trHeight w:val="198"/>
        </w:trPr>
        <w:tc>
          <w:tcPr>
            <w:tcW w:w="2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306"/>
              <w:spacing w:after="0"/>
              <w:rPr>
                <w:sz w:val="20"/>
                <w:szCs w:val="20"/>
                <w:color w:val="auto"/>
              </w:rPr>
            </w:pPr>
            <w:r>
              <w:rPr>
                <w:rFonts w:ascii="Arial" w:cs="Arial" w:eastAsia="Arial" w:hAnsi="Arial"/>
                <w:sz w:val="16"/>
                <w:szCs w:val="16"/>
                <w:b w:val="1"/>
                <w:bCs w:val="1"/>
                <w:color w:val="auto"/>
                <w:w w:val="89"/>
              </w:rPr>
              <w:t>Cost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Gains</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66"/>
              <w:spacing w:after="0"/>
              <w:rPr>
                <w:sz w:val="20"/>
                <w:szCs w:val="20"/>
                <w:color w:val="auto"/>
              </w:rPr>
            </w:pPr>
            <w:r>
              <w:rPr>
                <w:rFonts w:ascii="Arial" w:cs="Arial" w:eastAsia="Arial" w:hAnsi="Arial"/>
                <w:sz w:val="16"/>
                <w:szCs w:val="16"/>
                <w:b w:val="1"/>
                <w:bCs w:val="1"/>
                <w:color w:val="auto"/>
                <w:w w:val="83"/>
              </w:rPr>
              <w:t>Losses</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Fair Value</w:t>
            </w:r>
          </w:p>
        </w:tc>
      </w:tr>
      <w:tr>
        <w:trPr>
          <w:trHeight w:val="239"/>
        </w:trPr>
        <w:tc>
          <w:tcPr>
            <w:tcW w:w="2660" w:type="dxa"/>
            <w:vAlign w:val="bottom"/>
          </w:tcPr>
          <w:p>
            <w:pPr>
              <w:spacing w:after="0"/>
              <w:rPr>
                <w:sz w:val="20"/>
                <w:szCs w:val="20"/>
                <w:color w:val="auto"/>
              </w:rPr>
            </w:pPr>
            <w:r>
              <w:rPr>
                <w:rFonts w:ascii="Arial" w:cs="Arial" w:eastAsia="Arial" w:hAnsi="Arial"/>
                <w:sz w:val="20"/>
                <w:szCs w:val="20"/>
                <w:b w:val="1"/>
                <w:bCs w:val="1"/>
                <w:color w:val="auto"/>
              </w:rPr>
              <w:t>Asset-backed securities</w:t>
            </w:r>
          </w:p>
        </w:tc>
        <w:tc>
          <w:tcPr>
            <w:tcW w:w="300" w:type="dxa"/>
            <w:vAlign w:val="bottom"/>
          </w:tcPr>
          <w:p>
            <w:pPr>
              <w:jc w:val="right"/>
              <w:ind w:right="100"/>
              <w:spacing w:after="0"/>
              <w:rPr>
                <w:sz w:val="20"/>
                <w:szCs w:val="20"/>
                <w:color w:val="auto"/>
              </w:rPr>
            </w:pPr>
            <w:r>
              <w:rPr>
                <w:rFonts w:ascii="Arial" w:cs="Arial" w:eastAsia="Arial" w:hAnsi="Arial"/>
                <w:sz w:val="20"/>
                <w:szCs w:val="20"/>
                <w:b w:val="1"/>
                <w:bCs w:val="1"/>
                <w:color w:val="auto"/>
                <w:w w:val="71"/>
              </w:rPr>
              <w:t>$</w:t>
            </w:r>
          </w:p>
        </w:tc>
        <w:tc>
          <w:tcPr>
            <w:tcW w:w="1520" w:type="dxa"/>
            <w:vAlign w:val="bottom"/>
          </w:tcPr>
          <w:p>
            <w:pPr>
              <w:jc w:val="right"/>
              <w:spacing w:after="0"/>
              <w:rPr>
                <w:sz w:val="20"/>
                <w:szCs w:val="20"/>
                <w:color w:val="auto"/>
              </w:rPr>
            </w:pPr>
            <w:r>
              <w:rPr>
                <w:rFonts w:ascii="Arial" w:cs="Arial" w:eastAsia="Arial" w:hAnsi="Arial"/>
                <w:sz w:val="20"/>
                <w:szCs w:val="20"/>
                <w:b w:val="1"/>
                <w:bCs w:val="1"/>
                <w:color w:val="auto"/>
              </w:rPr>
              <w:t>5,334</w:t>
            </w:r>
          </w:p>
        </w:tc>
        <w:tc>
          <w:tcPr>
            <w:tcW w:w="320" w:type="dxa"/>
            <w:vAlign w:val="bottom"/>
            <w:gridSpan w:val="4"/>
          </w:tcPr>
          <w:p>
            <w:pPr>
              <w:jc w:val="right"/>
              <w:ind w:right="60"/>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ind w:right="7"/>
              <w:spacing w:after="0"/>
              <w:rPr>
                <w:sz w:val="20"/>
                <w:szCs w:val="20"/>
                <w:color w:val="auto"/>
              </w:rPr>
            </w:pPr>
            <w:r>
              <w:rPr>
                <w:rFonts w:ascii="Arial" w:cs="Arial" w:eastAsia="Arial" w:hAnsi="Arial"/>
                <w:sz w:val="20"/>
                <w:szCs w:val="20"/>
                <w:b w:val="1"/>
                <w:bCs w:val="1"/>
                <w:color w:val="auto"/>
              </w:rPr>
              <w:t>6</w:t>
            </w:r>
          </w:p>
        </w:tc>
        <w:tc>
          <w:tcPr>
            <w:tcW w:w="30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ind w:right="6"/>
              <w:spacing w:after="0"/>
              <w:rPr>
                <w:sz w:val="20"/>
                <w:szCs w:val="20"/>
                <w:color w:val="auto"/>
              </w:rPr>
            </w:pPr>
            <w:r>
              <w:rPr>
                <w:rFonts w:ascii="Arial" w:cs="Arial" w:eastAsia="Arial" w:hAnsi="Arial"/>
                <w:sz w:val="20"/>
                <w:szCs w:val="20"/>
                <w:b w:val="1"/>
                <w:bCs w:val="1"/>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5,340</w:t>
            </w:r>
          </w:p>
        </w:tc>
      </w:tr>
      <w:tr>
        <w:trPr>
          <w:trHeight w:val="242"/>
        </w:trPr>
        <w:tc>
          <w:tcPr>
            <w:tcW w:w="2660" w:type="dxa"/>
            <w:vAlign w:val="bottom"/>
          </w:tcPr>
          <w:p>
            <w:pPr>
              <w:spacing w:after="0"/>
              <w:rPr>
                <w:sz w:val="20"/>
                <w:szCs w:val="20"/>
                <w:color w:val="auto"/>
              </w:rPr>
            </w:pPr>
            <w:r>
              <w:rPr>
                <w:rFonts w:ascii="Arial" w:cs="Arial" w:eastAsia="Arial" w:hAnsi="Arial"/>
                <w:sz w:val="20"/>
                <w:szCs w:val="20"/>
                <w:b w:val="1"/>
                <w:bCs w:val="1"/>
                <w:color w:val="auto"/>
              </w:rPr>
              <w:t>U.S. treasury securities</w:t>
            </w:r>
          </w:p>
        </w:tc>
        <w:tc>
          <w:tcPr>
            <w:tcW w:w="300" w:type="dxa"/>
            <w:vAlign w:val="bottom"/>
          </w:tcPr>
          <w:p>
            <w:pPr>
              <w:spacing w:after="0"/>
              <w:rPr>
                <w:sz w:val="21"/>
                <w:szCs w:val="21"/>
                <w:color w:val="auto"/>
              </w:rPr>
            </w:pPr>
          </w:p>
        </w:tc>
        <w:tc>
          <w:tcPr>
            <w:tcW w:w="1520" w:type="dxa"/>
            <w:vAlign w:val="bottom"/>
          </w:tcPr>
          <w:p>
            <w:pPr>
              <w:jc w:val="right"/>
              <w:ind w:right="6"/>
              <w:spacing w:after="0"/>
              <w:rPr>
                <w:sz w:val="20"/>
                <w:szCs w:val="20"/>
                <w:color w:val="auto"/>
              </w:rPr>
            </w:pPr>
            <w:r>
              <w:rPr>
                <w:rFonts w:ascii="Arial" w:cs="Arial" w:eastAsia="Arial" w:hAnsi="Arial"/>
                <w:sz w:val="20"/>
                <w:szCs w:val="20"/>
                <w:b w:val="1"/>
                <w:bCs w:val="1"/>
                <w:color w:val="auto"/>
              </w:rPr>
              <w:t>991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7"/>
              <w:spacing w:after="0"/>
              <w:rPr>
                <w:sz w:val="20"/>
                <w:szCs w:val="20"/>
                <w:color w:val="auto"/>
              </w:rPr>
            </w:pPr>
            <w:r>
              <w:rPr>
                <w:rFonts w:ascii="Arial" w:cs="Arial" w:eastAsia="Arial" w:hAnsi="Arial"/>
                <w:sz w:val="20"/>
                <w:szCs w:val="20"/>
                <w:b w:val="1"/>
                <w:bCs w:val="1"/>
                <w:color w:val="auto"/>
              </w:rPr>
              <w:t>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6"/>
              <w:spacing w:after="0"/>
              <w:rPr>
                <w:sz w:val="20"/>
                <w:szCs w:val="20"/>
                <w:color w:val="auto"/>
              </w:rPr>
            </w:pPr>
            <w:r>
              <w:rPr>
                <w:rFonts w:ascii="Arial" w:cs="Arial" w:eastAsia="Arial" w:hAnsi="Arial"/>
                <w:sz w:val="20"/>
                <w:szCs w:val="20"/>
                <w:b w:val="1"/>
                <w:bCs w:val="1"/>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992</w:t>
            </w:r>
          </w:p>
        </w:tc>
      </w:tr>
      <w:tr>
        <w:trPr>
          <w:trHeight w:val="245"/>
        </w:trPr>
        <w:tc>
          <w:tcPr>
            <w:tcW w:w="2660" w:type="dxa"/>
            <w:vAlign w:val="bottom"/>
          </w:tcPr>
          <w:p>
            <w:pPr>
              <w:spacing w:after="0"/>
              <w:rPr>
                <w:sz w:val="20"/>
                <w:szCs w:val="20"/>
                <w:color w:val="auto"/>
              </w:rPr>
            </w:pPr>
            <w:r>
              <w:rPr>
                <w:rFonts w:ascii="Arial" w:cs="Arial" w:eastAsia="Arial" w:hAnsi="Arial"/>
                <w:sz w:val="20"/>
                <w:szCs w:val="20"/>
                <w:b w:val="1"/>
                <w:bCs w:val="1"/>
                <w:color w:val="auto"/>
              </w:rPr>
              <w:t>Other agency securities</w:t>
            </w:r>
          </w:p>
        </w:tc>
        <w:tc>
          <w:tcPr>
            <w:tcW w:w="300" w:type="dxa"/>
            <w:vAlign w:val="bottom"/>
          </w:tcPr>
          <w:p>
            <w:pPr>
              <w:spacing w:after="0"/>
              <w:rPr>
                <w:sz w:val="21"/>
                <w:szCs w:val="21"/>
                <w:color w:val="auto"/>
              </w:rPr>
            </w:pPr>
          </w:p>
        </w:tc>
        <w:tc>
          <w:tcPr>
            <w:tcW w:w="1520" w:type="dxa"/>
            <w:vAlign w:val="bottom"/>
          </w:tcPr>
          <w:p>
            <w:pPr>
              <w:jc w:val="right"/>
              <w:ind w:right="6"/>
              <w:spacing w:after="0"/>
              <w:rPr>
                <w:sz w:val="20"/>
                <w:szCs w:val="20"/>
                <w:color w:val="auto"/>
              </w:rPr>
            </w:pPr>
            <w:r>
              <w:rPr>
                <w:rFonts w:ascii="Arial" w:cs="Arial" w:eastAsia="Arial" w:hAnsi="Arial"/>
                <w:sz w:val="20"/>
                <w:szCs w:val="20"/>
                <w:b w:val="1"/>
                <w:bCs w:val="1"/>
                <w:color w:val="auto"/>
              </w:rPr>
              <w:t>995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7"/>
              <w:spacing w:after="0"/>
              <w:rPr>
                <w:sz w:val="20"/>
                <w:szCs w:val="20"/>
                <w:color w:val="auto"/>
              </w:rPr>
            </w:pPr>
            <w:r>
              <w:rPr>
                <w:rFonts w:ascii="Arial" w:cs="Arial" w:eastAsia="Arial" w:hAnsi="Arial"/>
                <w:sz w:val="20"/>
                <w:szCs w:val="20"/>
                <w:b w:val="1"/>
                <w:bCs w:val="1"/>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6"/>
              <w:spacing w:after="0"/>
              <w:rPr>
                <w:sz w:val="20"/>
                <w:szCs w:val="20"/>
                <w:color w:val="auto"/>
              </w:rPr>
            </w:pPr>
            <w:r>
              <w:rPr>
                <w:rFonts w:ascii="Arial" w:cs="Arial" w:eastAsia="Arial" w:hAnsi="Arial"/>
                <w:sz w:val="20"/>
                <w:szCs w:val="20"/>
                <w:b w:val="1"/>
                <w:bCs w:val="1"/>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995</w:t>
            </w:r>
          </w:p>
        </w:tc>
      </w:tr>
      <w:tr>
        <w:trPr>
          <w:trHeight w:val="245"/>
        </w:trPr>
        <w:tc>
          <w:tcPr>
            <w:tcW w:w="2660" w:type="dxa"/>
            <w:vAlign w:val="bottom"/>
          </w:tcPr>
          <w:p>
            <w:pPr>
              <w:spacing w:after="0"/>
              <w:rPr>
                <w:sz w:val="20"/>
                <w:szCs w:val="20"/>
                <w:color w:val="auto"/>
              </w:rPr>
            </w:pPr>
            <w:r>
              <w:rPr>
                <w:rFonts w:ascii="Arial" w:cs="Arial" w:eastAsia="Arial" w:hAnsi="Arial"/>
                <w:sz w:val="20"/>
                <w:szCs w:val="20"/>
                <w:b w:val="1"/>
                <w:bCs w:val="1"/>
                <w:color w:val="auto"/>
              </w:rPr>
              <w:t>Commercial paper</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b w:val="1"/>
                <w:bCs w:val="1"/>
                <w:color w:val="auto"/>
              </w:rPr>
              <w:t>7,682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7"/>
              <w:spacing w:after="0"/>
              <w:rPr>
                <w:sz w:val="20"/>
                <w:szCs w:val="20"/>
                <w:color w:val="auto"/>
              </w:rPr>
            </w:pPr>
            <w:r>
              <w:rPr>
                <w:rFonts w:ascii="Arial" w:cs="Arial" w:eastAsia="Arial" w:hAnsi="Arial"/>
                <w:sz w:val="20"/>
                <w:szCs w:val="20"/>
                <w:b w:val="1"/>
                <w:bCs w:val="1"/>
                <w:color w:val="auto"/>
              </w:rPr>
              <w:t>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6"/>
              <w:spacing w:after="0"/>
              <w:rPr>
                <w:sz w:val="20"/>
                <w:szCs w:val="20"/>
                <w:color w:val="auto"/>
              </w:rPr>
            </w:pPr>
            <w:r>
              <w:rPr>
                <w:rFonts w:ascii="Arial" w:cs="Arial" w:eastAsia="Arial" w:hAnsi="Arial"/>
                <w:sz w:val="20"/>
                <w:szCs w:val="20"/>
                <w:b w:val="1"/>
                <w:bCs w:val="1"/>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7,683</w:t>
            </w:r>
          </w:p>
        </w:tc>
      </w:tr>
      <w:tr>
        <w:trPr>
          <w:trHeight w:val="243"/>
        </w:trPr>
        <w:tc>
          <w:tcPr>
            <w:tcW w:w="2660" w:type="dxa"/>
            <w:vAlign w:val="bottom"/>
          </w:tcPr>
          <w:p>
            <w:pPr>
              <w:spacing w:after="0"/>
              <w:rPr>
                <w:sz w:val="20"/>
                <w:szCs w:val="20"/>
                <w:color w:val="auto"/>
              </w:rPr>
            </w:pPr>
            <w:r>
              <w:rPr>
                <w:rFonts w:ascii="Arial" w:cs="Arial" w:eastAsia="Arial" w:hAnsi="Arial"/>
                <w:sz w:val="20"/>
                <w:szCs w:val="20"/>
                <w:b w:val="1"/>
                <w:bCs w:val="1"/>
                <w:color w:val="auto"/>
              </w:rPr>
              <w:t>Corporate debt securities</w:t>
            </w: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5,128</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b w:val="1"/>
                <w:bCs w:val="1"/>
                <w:color w:val="auto"/>
              </w:rPr>
              <w:t>1</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20"/>
                <w:szCs w:val="20"/>
                <w:b w:val="1"/>
                <w:bCs w:val="1"/>
                <w:color w:val="auto"/>
              </w:rPr>
              <w:t>—</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5,129</w:t>
            </w:r>
          </w:p>
        </w:tc>
      </w:tr>
      <w:tr>
        <w:trPr>
          <w:trHeight w:val="239"/>
        </w:trPr>
        <w:tc>
          <w:tcPr>
            <w:tcW w:w="266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300" w:type="dxa"/>
            <w:vAlign w:val="bottom"/>
          </w:tcPr>
          <w:p>
            <w:pPr>
              <w:jc w:val="right"/>
              <w:ind w:right="100"/>
              <w:spacing w:after="0"/>
              <w:rPr>
                <w:sz w:val="20"/>
                <w:szCs w:val="20"/>
                <w:color w:val="auto"/>
              </w:rPr>
            </w:pPr>
            <w:r>
              <w:rPr>
                <w:rFonts w:ascii="Arial" w:cs="Arial" w:eastAsia="Arial" w:hAnsi="Arial"/>
                <w:sz w:val="20"/>
                <w:szCs w:val="20"/>
                <w:b w:val="1"/>
                <w:bCs w:val="1"/>
                <w:color w:val="auto"/>
                <w:w w:val="71"/>
              </w:rPr>
              <w:t>$</w:t>
            </w:r>
          </w:p>
        </w:tc>
        <w:tc>
          <w:tcPr>
            <w:tcW w:w="1520" w:type="dxa"/>
            <w:vAlign w:val="bottom"/>
          </w:tcPr>
          <w:p>
            <w:pPr>
              <w:jc w:val="right"/>
              <w:spacing w:after="0"/>
              <w:rPr>
                <w:sz w:val="20"/>
                <w:szCs w:val="20"/>
                <w:color w:val="auto"/>
              </w:rPr>
            </w:pPr>
            <w:r>
              <w:rPr>
                <w:rFonts w:ascii="Arial" w:cs="Arial" w:eastAsia="Arial" w:hAnsi="Arial"/>
                <w:sz w:val="20"/>
                <w:szCs w:val="20"/>
                <w:b w:val="1"/>
                <w:bCs w:val="1"/>
                <w:color w:val="auto"/>
              </w:rPr>
              <w:t>20,130</w:t>
            </w:r>
          </w:p>
        </w:tc>
        <w:tc>
          <w:tcPr>
            <w:tcW w:w="320" w:type="dxa"/>
            <w:vAlign w:val="bottom"/>
            <w:gridSpan w:val="4"/>
          </w:tcPr>
          <w:p>
            <w:pPr>
              <w:jc w:val="right"/>
              <w:ind w:right="60"/>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ind w:right="7"/>
              <w:spacing w:after="0"/>
              <w:rPr>
                <w:sz w:val="20"/>
                <w:szCs w:val="20"/>
                <w:color w:val="auto"/>
              </w:rPr>
            </w:pPr>
            <w:r>
              <w:rPr>
                <w:rFonts w:ascii="Arial" w:cs="Arial" w:eastAsia="Arial" w:hAnsi="Arial"/>
                <w:sz w:val="20"/>
                <w:szCs w:val="20"/>
                <w:b w:val="1"/>
                <w:bCs w:val="1"/>
                <w:color w:val="auto"/>
              </w:rPr>
              <w:t>9</w:t>
            </w:r>
          </w:p>
        </w:tc>
        <w:tc>
          <w:tcPr>
            <w:tcW w:w="30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ind w:right="6"/>
              <w:spacing w:after="0"/>
              <w:rPr>
                <w:sz w:val="20"/>
                <w:szCs w:val="20"/>
                <w:color w:val="auto"/>
              </w:rPr>
            </w:pPr>
            <w:r>
              <w:rPr>
                <w:rFonts w:ascii="Arial" w:cs="Arial" w:eastAsia="Arial" w:hAnsi="Arial"/>
                <w:sz w:val="20"/>
                <w:szCs w:val="20"/>
                <w:b w:val="1"/>
                <w:bCs w:val="1"/>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20,139</w:t>
            </w:r>
          </w:p>
        </w:tc>
      </w:tr>
      <w:tr>
        <w:trPr>
          <w:trHeight w:val="474"/>
        </w:trPr>
        <w:tc>
          <w:tcPr>
            <w:tcW w:w="2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December 31, 2024</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94"/>
        </w:trPr>
        <w:tc>
          <w:tcPr>
            <w:tcW w:w="2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jc w:val="center"/>
              <w:ind w:right="286"/>
              <w:spacing w:after="0"/>
              <w:rPr>
                <w:sz w:val="20"/>
                <w:szCs w:val="20"/>
                <w:color w:val="auto"/>
              </w:rPr>
            </w:pPr>
            <w:r>
              <w:rPr>
                <w:rFonts w:ascii="Arial" w:cs="Arial" w:eastAsia="Arial" w:hAnsi="Arial"/>
                <w:sz w:val="16"/>
                <w:szCs w:val="16"/>
                <w:b w:val="1"/>
                <w:bCs w:val="1"/>
                <w:color w:val="auto"/>
                <w:w w:val="94"/>
              </w:rPr>
              <w:t>Amortized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27"/>
              <w:spacing w:after="0"/>
              <w:rPr>
                <w:sz w:val="20"/>
                <w:szCs w:val="20"/>
                <w:color w:val="auto"/>
              </w:rPr>
            </w:pPr>
            <w:r>
              <w:rPr>
                <w:rFonts w:ascii="Arial" w:cs="Arial" w:eastAsia="Arial" w:hAnsi="Arial"/>
                <w:sz w:val="16"/>
                <w:szCs w:val="16"/>
                <w:b w:val="1"/>
                <w:bCs w:val="1"/>
                <w:color w:val="auto"/>
                <w:w w:val="96"/>
              </w:rPr>
              <w:t>Unrealized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166"/>
              <w:spacing w:after="0"/>
              <w:rPr>
                <w:sz w:val="20"/>
                <w:szCs w:val="20"/>
                <w:color w:val="auto"/>
              </w:rPr>
            </w:pPr>
            <w:r>
              <w:rPr>
                <w:rFonts w:ascii="Arial" w:cs="Arial" w:eastAsia="Arial" w:hAnsi="Arial"/>
                <w:sz w:val="16"/>
                <w:szCs w:val="16"/>
                <w:b w:val="1"/>
                <w:bCs w:val="1"/>
                <w:color w:val="auto"/>
                <w:w w:val="91"/>
              </w:rPr>
              <w:t>Unrealized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ind w:left="80"/>
              <w:spacing w:after="0"/>
              <w:rPr>
                <w:sz w:val="20"/>
                <w:szCs w:val="20"/>
                <w:color w:val="auto"/>
              </w:rPr>
            </w:pPr>
            <w:r>
              <w:rPr>
                <w:rFonts w:ascii="Arial" w:cs="Arial" w:eastAsia="Arial" w:hAnsi="Arial"/>
                <w:sz w:val="16"/>
                <w:szCs w:val="16"/>
                <w:b w:val="1"/>
                <w:bCs w:val="1"/>
                <w:color w:val="auto"/>
              </w:rPr>
              <w:t>Estimated</w:t>
            </w:r>
          </w:p>
        </w:tc>
      </w:tr>
      <w:tr>
        <w:trPr>
          <w:trHeight w:val="198"/>
        </w:trPr>
        <w:tc>
          <w:tcPr>
            <w:tcW w:w="2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286"/>
              <w:spacing w:after="0"/>
              <w:rPr>
                <w:sz w:val="20"/>
                <w:szCs w:val="20"/>
                <w:color w:val="auto"/>
              </w:rPr>
            </w:pPr>
            <w:r>
              <w:rPr>
                <w:rFonts w:ascii="Arial" w:cs="Arial" w:eastAsia="Arial" w:hAnsi="Arial"/>
                <w:sz w:val="16"/>
                <w:szCs w:val="16"/>
                <w:b w:val="1"/>
                <w:bCs w:val="1"/>
                <w:color w:val="auto"/>
                <w:w w:val="84"/>
              </w:rPr>
              <w:t>Cost</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Gains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46"/>
              <w:spacing w:after="0"/>
              <w:rPr>
                <w:sz w:val="20"/>
                <w:szCs w:val="20"/>
                <w:color w:val="auto"/>
              </w:rPr>
            </w:pPr>
            <w:r>
              <w:rPr>
                <w:rFonts w:ascii="Arial" w:cs="Arial" w:eastAsia="Arial" w:hAnsi="Arial"/>
                <w:sz w:val="16"/>
                <w:szCs w:val="16"/>
                <w:b w:val="1"/>
                <w:bCs w:val="1"/>
                <w:color w:val="auto"/>
                <w:w w:val="79"/>
              </w:rPr>
              <w:t>Losses</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Fair Value</w:t>
            </w:r>
          </w:p>
        </w:tc>
      </w:tr>
      <w:tr>
        <w:trPr>
          <w:trHeight w:val="236"/>
        </w:trPr>
        <w:tc>
          <w:tcPr>
            <w:tcW w:w="2660" w:type="dxa"/>
            <w:vAlign w:val="bottom"/>
          </w:tcPr>
          <w:p>
            <w:pPr>
              <w:spacing w:after="0"/>
              <w:rPr>
                <w:sz w:val="20"/>
                <w:szCs w:val="20"/>
                <w:color w:val="auto"/>
              </w:rPr>
            </w:pPr>
            <w:r>
              <w:rPr>
                <w:rFonts w:ascii="Arial" w:cs="Arial" w:eastAsia="Arial" w:hAnsi="Arial"/>
                <w:sz w:val="20"/>
                <w:szCs w:val="20"/>
                <w:b w:val="1"/>
                <w:bCs w:val="1"/>
                <w:color w:val="auto"/>
              </w:rPr>
              <w:t>Asset-backed securities</w:t>
            </w:r>
          </w:p>
        </w:tc>
        <w:tc>
          <w:tcPr>
            <w:tcW w:w="300" w:type="dxa"/>
            <w:vAlign w:val="bottom"/>
          </w:tcPr>
          <w:p>
            <w:pPr>
              <w:jc w:val="right"/>
              <w:ind w:right="100"/>
              <w:spacing w:after="0"/>
              <w:rPr>
                <w:sz w:val="20"/>
                <w:szCs w:val="20"/>
                <w:color w:val="auto"/>
              </w:rPr>
            </w:pPr>
            <w:r>
              <w:rPr>
                <w:rFonts w:ascii="Arial" w:cs="Arial" w:eastAsia="Arial" w:hAnsi="Arial"/>
                <w:sz w:val="20"/>
                <w:szCs w:val="20"/>
                <w:b w:val="1"/>
                <w:bCs w:val="1"/>
                <w:color w:val="auto"/>
                <w:w w:val="71"/>
              </w:rPr>
              <w:t>$</w:t>
            </w:r>
          </w:p>
        </w:tc>
        <w:tc>
          <w:tcPr>
            <w:tcW w:w="1520" w:type="dxa"/>
            <w:vAlign w:val="bottom"/>
          </w:tcPr>
          <w:p>
            <w:pPr>
              <w:jc w:val="right"/>
              <w:spacing w:after="0"/>
              <w:rPr>
                <w:sz w:val="20"/>
                <w:szCs w:val="20"/>
                <w:color w:val="auto"/>
              </w:rPr>
            </w:pPr>
            <w:r>
              <w:rPr>
                <w:rFonts w:ascii="Arial" w:cs="Arial" w:eastAsia="Arial" w:hAnsi="Arial"/>
                <w:sz w:val="20"/>
                <w:szCs w:val="20"/>
                <w:b w:val="1"/>
                <w:bCs w:val="1"/>
                <w:color w:val="auto"/>
              </w:rPr>
              <w:t>19,998</w:t>
            </w:r>
          </w:p>
        </w:tc>
        <w:tc>
          <w:tcPr>
            <w:tcW w:w="320" w:type="dxa"/>
            <w:vAlign w:val="bottom"/>
            <w:gridSpan w:val="4"/>
          </w:tcPr>
          <w:p>
            <w:pPr>
              <w:jc w:val="right"/>
              <w:ind w:right="60"/>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ind w:right="7"/>
              <w:spacing w:after="0"/>
              <w:rPr>
                <w:sz w:val="20"/>
                <w:szCs w:val="20"/>
                <w:color w:val="auto"/>
              </w:rPr>
            </w:pPr>
            <w:r>
              <w:rPr>
                <w:rFonts w:ascii="Arial" w:cs="Arial" w:eastAsia="Arial" w:hAnsi="Arial"/>
                <w:sz w:val="20"/>
                <w:szCs w:val="20"/>
                <w:b w:val="1"/>
                <w:bCs w:val="1"/>
                <w:color w:val="auto"/>
              </w:rPr>
              <w:t>46</w:t>
            </w:r>
          </w:p>
        </w:tc>
        <w:tc>
          <w:tcPr>
            <w:tcW w:w="30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(10)</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20,034</w:t>
            </w:r>
          </w:p>
        </w:tc>
      </w:tr>
      <w:tr>
        <w:trPr>
          <w:trHeight w:val="245"/>
        </w:trPr>
        <w:tc>
          <w:tcPr>
            <w:tcW w:w="2660" w:type="dxa"/>
            <w:vAlign w:val="bottom"/>
          </w:tcPr>
          <w:p>
            <w:pPr>
              <w:spacing w:after="0"/>
              <w:rPr>
                <w:sz w:val="20"/>
                <w:szCs w:val="20"/>
                <w:color w:val="auto"/>
              </w:rPr>
            </w:pPr>
            <w:r>
              <w:rPr>
                <w:rFonts w:ascii="Arial" w:cs="Arial" w:eastAsia="Arial" w:hAnsi="Arial"/>
                <w:sz w:val="20"/>
                <w:szCs w:val="20"/>
                <w:b w:val="1"/>
                <w:bCs w:val="1"/>
                <w:color w:val="auto"/>
              </w:rPr>
              <w:t>U.S. treasury securities</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b w:val="1"/>
                <w:bCs w:val="1"/>
                <w:color w:val="auto"/>
              </w:rPr>
              <w:t>14,346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7"/>
              <w:spacing w:after="0"/>
              <w:rPr>
                <w:sz w:val="20"/>
                <w:szCs w:val="20"/>
                <w:color w:val="auto"/>
              </w:rPr>
            </w:pPr>
            <w:r>
              <w:rPr>
                <w:rFonts w:ascii="Arial" w:cs="Arial" w:eastAsia="Arial" w:hAnsi="Arial"/>
                <w:sz w:val="20"/>
                <w:szCs w:val="20"/>
                <w:b w:val="1"/>
                <w:bCs w:val="1"/>
                <w:color w:val="auto"/>
              </w:rPr>
              <w:t>18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6"/>
              <w:spacing w:after="0"/>
              <w:rPr>
                <w:sz w:val="20"/>
                <w:szCs w:val="20"/>
                <w:color w:val="auto"/>
              </w:rPr>
            </w:pPr>
            <w:r>
              <w:rPr>
                <w:rFonts w:ascii="Arial" w:cs="Arial" w:eastAsia="Arial" w:hAnsi="Arial"/>
                <w:sz w:val="20"/>
                <w:szCs w:val="20"/>
                <w:b w:val="1"/>
                <w:bCs w:val="1"/>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14,364</w:t>
            </w:r>
          </w:p>
        </w:tc>
      </w:tr>
      <w:tr>
        <w:trPr>
          <w:trHeight w:val="245"/>
        </w:trPr>
        <w:tc>
          <w:tcPr>
            <w:tcW w:w="2660" w:type="dxa"/>
            <w:vAlign w:val="bottom"/>
          </w:tcPr>
          <w:p>
            <w:pPr>
              <w:spacing w:after="0"/>
              <w:rPr>
                <w:sz w:val="20"/>
                <w:szCs w:val="20"/>
                <w:color w:val="auto"/>
              </w:rPr>
            </w:pPr>
            <w:r>
              <w:rPr>
                <w:rFonts w:ascii="Arial" w:cs="Arial" w:eastAsia="Arial" w:hAnsi="Arial"/>
                <w:sz w:val="20"/>
                <w:szCs w:val="20"/>
                <w:b w:val="1"/>
                <w:bCs w:val="1"/>
                <w:color w:val="auto"/>
              </w:rPr>
              <w:t>Commercial paper</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b w:val="1"/>
                <w:bCs w:val="1"/>
                <w:color w:val="auto"/>
              </w:rPr>
              <w:t>2,079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7"/>
              <w:spacing w:after="0"/>
              <w:rPr>
                <w:sz w:val="20"/>
                <w:szCs w:val="20"/>
                <w:color w:val="auto"/>
              </w:rPr>
            </w:pPr>
            <w:r>
              <w:rPr>
                <w:rFonts w:ascii="Arial" w:cs="Arial" w:eastAsia="Arial" w:hAnsi="Arial"/>
                <w:sz w:val="20"/>
                <w:szCs w:val="20"/>
                <w:b w:val="1"/>
                <w:bCs w:val="1"/>
                <w:color w:val="auto"/>
              </w:rPr>
              <w:t>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6"/>
              <w:spacing w:after="0"/>
              <w:rPr>
                <w:sz w:val="20"/>
                <w:szCs w:val="20"/>
                <w:color w:val="auto"/>
              </w:rPr>
            </w:pPr>
            <w:r>
              <w:rPr>
                <w:rFonts w:ascii="Arial" w:cs="Arial" w:eastAsia="Arial" w:hAnsi="Arial"/>
                <w:sz w:val="20"/>
                <w:szCs w:val="20"/>
                <w:b w:val="1"/>
                <w:bCs w:val="1"/>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2,082</w:t>
            </w:r>
          </w:p>
        </w:tc>
      </w:tr>
      <w:tr>
        <w:trPr>
          <w:trHeight w:val="243"/>
        </w:trPr>
        <w:tc>
          <w:tcPr>
            <w:tcW w:w="2660" w:type="dxa"/>
            <w:vAlign w:val="bottom"/>
          </w:tcPr>
          <w:p>
            <w:pPr>
              <w:spacing w:after="0"/>
              <w:rPr>
                <w:sz w:val="20"/>
                <w:szCs w:val="20"/>
                <w:color w:val="auto"/>
              </w:rPr>
            </w:pPr>
            <w:r>
              <w:rPr>
                <w:rFonts w:ascii="Arial" w:cs="Arial" w:eastAsia="Arial" w:hAnsi="Arial"/>
                <w:sz w:val="20"/>
                <w:szCs w:val="20"/>
                <w:b w:val="1"/>
                <w:bCs w:val="1"/>
                <w:color w:val="auto"/>
              </w:rPr>
              <w:t>Corporate debt securities</w:t>
            </w: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26,478</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b w:val="1"/>
                <w:bCs w:val="1"/>
                <w:color w:val="auto"/>
              </w:rPr>
              <w:t>46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26,518</w:t>
            </w:r>
          </w:p>
        </w:tc>
      </w:tr>
      <w:tr>
        <w:trPr>
          <w:trHeight w:val="239"/>
        </w:trPr>
        <w:tc>
          <w:tcPr>
            <w:tcW w:w="266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300" w:type="dxa"/>
            <w:vAlign w:val="bottom"/>
          </w:tcPr>
          <w:p>
            <w:pPr>
              <w:jc w:val="right"/>
              <w:ind w:right="100"/>
              <w:spacing w:after="0"/>
              <w:rPr>
                <w:sz w:val="20"/>
                <w:szCs w:val="20"/>
                <w:color w:val="auto"/>
              </w:rPr>
            </w:pPr>
            <w:r>
              <w:rPr>
                <w:rFonts w:ascii="Arial" w:cs="Arial" w:eastAsia="Arial" w:hAnsi="Arial"/>
                <w:sz w:val="20"/>
                <w:szCs w:val="20"/>
                <w:b w:val="1"/>
                <w:bCs w:val="1"/>
                <w:color w:val="auto"/>
                <w:w w:val="71"/>
              </w:rPr>
              <w:t>$</w:t>
            </w:r>
          </w:p>
        </w:tc>
        <w:tc>
          <w:tcPr>
            <w:tcW w:w="1520" w:type="dxa"/>
            <w:vAlign w:val="bottom"/>
          </w:tcPr>
          <w:p>
            <w:pPr>
              <w:jc w:val="right"/>
              <w:spacing w:after="0"/>
              <w:rPr>
                <w:sz w:val="20"/>
                <w:szCs w:val="20"/>
                <w:color w:val="auto"/>
              </w:rPr>
            </w:pPr>
            <w:r>
              <w:rPr>
                <w:rFonts w:ascii="Arial" w:cs="Arial" w:eastAsia="Arial" w:hAnsi="Arial"/>
                <w:sz w:val="20"/>
                <w:szCs w:val="20"/>
                <w:b w:val="1"/>
                <w:bCs w:val="1"/>
                <w:color w:val="auto"/>
              </w:rPr>
              <w:t>62,901</w:t>
            </w:r>
          </w:p>
        </w:tc>
        <w:tc>
          <w:tcPr>
            <w:tcW w:w="320" w:type="dxa"/>
            <w:vAlign w:val="bottom"/>
            <w:gridSpan w:val="4"/>
          </w:tcPr>
          <w:p>
            <w:pPr>
              <w:jc w:val="right"/>
              <w:ind w:right="60"/>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ind w:right="7"/>
              <w:spacing w:after="0"/>
              <w:rPr>
                <w:sz w:val="20"/>
                <w:szCs w:val="20"/>
                <w:color w:val="auto"/>
              </w:rPr>
            </w:pPr>
            <w:r>
              <w:rPr>
                <w:rFonts w:ascii="Arial" w:cs="Arial" w:eastAsia="Arial" w:hAnsi="Arial"/>
                <w:sz w:val="20"/>
                <w:szCs w:val="20"/>
                <w:b w:val="1"/>
                <w:bCs w:val="1"/>
                <w:color w:val="auto"/>
              </w:rPr>
              <w:t>113</w:t>
            </w:r>
          </w:p>
        </w:tc>
        <w:tc>
          <w:tcPr>
            <w:tcW w:w="30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(16</w:t>
            </w:r>
            <w:r>
              <w:rPr>
                <w:rFonts w:ascii="Arial" w:cs="Arial" w:eastAsia="Arial" w:hAnsi="Arial"/>
                <w:sz w:val="20"/>
                <w:szCs w:val="20"/>
                <w:b w:val="1"/>
                <w:bCs w:val="1"/>
                <w:color w:val="auto"/>
                <w:highlight w:val="white"/>
              </w:rPr>
              <w:t>)</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62,998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-2576195</wp:posOffset>
            </wp:positionV>
            <wp:extent cx="5574030" cy="26193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74030" cy="2619375"/>
                    </a:xfrm>
                    <a:prstGeom prst="rect">
                      <a:avLst/>
                    </a:prstGeom>
                    <a:noFill/>
                  </pic:spPr>
                </pic:pic>
              </a:graphicData>
            </a:graphic>
          </wp:anchor>
        </w:drawing>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92</w:t>
      </w:r>
    </w:p>
    <w:p>
      <w:pPr>
        <w:sectPr>
          <w:pgSz w:w="12240" w:h="15840" w:orient="portrait"/>
          <w:cols w:equalWidth="0" w:num="1">
            <w:col w:w="9700"/>
          </w:cols>
          <w:pgMar w:left="1260" w:top="1089" w:right="1280" w:bottom="181" w:gutter="0" w:footer="0" w:header="0"/>
          <w:type w:val="continuous"/>
        </w:sectPr>
      </w:pPr>
    </w:p>
    <w:bookmarkStart w:id="132" w:name="page133"/>
    <w:bookmarkEnd w:id="132"/>
    <w:p>
      <w:pPr>
        <w:ind w:right="20"/>
        <w:spacing w:after="0" w:line="289" w:lineRule="auto"/>
        <w:rPr>
          <w:sz w:val="20"/>
          <w:szCs w:val="20"/>
          <w:color w:val="auto"/>
        </w:rPr>
      </w:pPr>
      <w:r>
        <w:rPr>
          <w:rFonts w:ascii="Arial" w:cs="Arial" w:eastAsia="Arial" w:hAnsi="Arial"/>
          <w:sz w:val="17"/>
          <w:szCs w:val="17"/>
          <w:b w:val="1"/>
          <w:bCs w:val="1"/>
          <w:color w:val="auto"/>
        </w:rPr>
        <w:t>As of December 31, 2025, the unrealized losses for available-for-sale investments were primarily due to changes in interest rates and not due to increased credit risks associated with specific securities. The contractual terms of those investments do not permit the issuer to settle the securities at a price less than the amortized cost bases of the investments. The Company does not currently intend to sell the investments. As of December 31, 2025, no allowance for credit losses was recorded and the Company did not recognize any impairment losses related to investments.</w:t>
      </w:r>
    </w:p>
    <w:p>
      <w:pPr>
        <w:spacing w:after="0" w:line="213"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b w:val="1"/>
          <w:bCs w:val="1"/>
          <w:color w:val="auto"/>
        </w:rPr>
        <w:t>The tables below show the gross unrealized losses and fair value of the Company's available-for-sale securities with unrealized losses that are not deemed to have credit losses (in thousands), aggregated by investment category and length of time that individual securities have been in a continuous unrealized loss position at December 31, 2025 and 2024, respectively:</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7"/>
          </w:tcPr>
          <w:p>
            <w:pPr>
              <w:ind w:left="60"/>
              <w:spacing w:after="0"/>
              <w:rPr>
                <w:sz w:val="20"/>
                <w:szCs w:val="20"/>
                <w:color w:val="auto"/>
              </w:rPr>
            </w:pPr>
            <w:r>
              <w:rPr>
                <w:rFonts w:ascii="Arial" w:cs="Arial" w:eastAsia="Arial" w:hAnsi="Arial"/>
                <w:sz w:val="16"/>
                <w:szCs w:val="16"/>
                <w:b w:val="1"/>
                <w:bCs w:val="1"/>
                <w:color w:val="auto"/>
              </w:rPr>
              <w:t>December 31, 2025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8"/>
        </w:trPr>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Less Than 12 Months</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ind w:left="220"/>
              <w:spacing w:after="0"/>
              <w:rPr>
                <w:sz w:val="20"/>
                <w:szCs w:val="20"/>
                <w:color w:val="auto"/>
              </w:rPr>
            </w:pPr>
            <w:r>
              <w:rPr>
                <w:rFonts w:ascii="Arial" w:cs="Arial" w:eastAsia="Arial" w:hAnsi="Arial"/>
                <w:sz w:val="16"/>
                <w:szCs w:val="16"/>
                <w:b w:val="1"/>
                <w:bCs w:val="1"/>
                <w:color w:val="auto"/>
              </w:rPr>
              <w:t>More Than 12 Months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38"/>
        </w:trPr>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6"/>
                <w:szCs w:val="16"/>
                <w:b w:val="1"/>
                <w:bCs w:val="1"/>
                <w:color w:val="auto"/>
              </w:rPr>
              <w:t>Estimated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46"/>
              <w:spacing w:after="0"/>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6"/>
                <w:szCs w:val="16"/>
                <w:b w:val="1"/>
                <w:bCs w:val="1"/>
                <w:color w:val="auto"/>
              </w:rPr>
              <w:t>Estimated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20"/>
                <w:szCs w:val="20"/>
                <w:color w:val="auto"/>
              </w:rPr>
            </w:pPr>
          </w:p>
        </w:tc>
        <w:tc>
          <w:tcPr>
            <w:tcW w:w="960" w:type="dxa"/>
            <w:vAlign w:val="bottom"/>
            <w:gridSpan w:val="2"/>
          </w:tcPr>
          <w:p>
            <w:pPr>
              <w:jc w:val="center"/>
              <w:ind w:right="3"/>
              <w:spacing w:after="0"/>
              <w:rPr>
                <w:sz w:val="20"/>
                <w:szCs w:val="20"/>
                <w:color w:val="auto"/>
              </w:rPr>
            </w:pPr>
            <w:r>
              <w:rPr>
                <w:rFonts w:ascii="Arial" w:cs="Arial" w:eastAsia="Arial" w:hAnsi="Arial"/>
                <w:sz w:val="16"/>
                <w:szCs w:val="16"/>
                <w:b w:val="1"/>
                <w:bCs w:val="1"/>
                <w:color w:val="auto"/>
                <w:w w:val="91"/>
              </w:rPr>
              <w:t>Estimated</w:t>
            </w:r>
          </w:p>
        </w:tc>
        <w:tc>
          <w:tcPr>
            <w:tcW w:w="120" w:type="dxa"/>
            <w:vAlign w:val="bottom"/>
          </w:tcPr>
          <w:p>
            <w:pPr>
              <w:spacing w:after="0"/>
              <w:rPr>
                <w:sz w:val="20"/>
                <w:szCs w:val="20"/>
                <w:color w:val="auto"/>
              </w:rPr>
            </w:pPr>
          </w:p>
        </w:tc>
        <w:tc>
          <w:tcPr>
            <w:tcW w:w="94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w w:val="93"/>
              </w:rPr>
              <w:t>Unrealized</w:t>
            </w:r>
          </w:p>
        </w:tc>
      </w:tr>
      <w:tr>
        <w:trPr>
          <w:trHeight w:val="244"/>
        </w:trPr>
        <w:tc>
          <w:tcPr>
            <w:tcW w:w="2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46"/>
              <w:spacing w:after="0"/>
              <w:rPr>
                <w:sz w:val="20"/>
                <w:szCs w:val="20"/>
                <w:color w:val="auto"/>
              </w:rPr>
            </w:pPr>
            <w:r>
              <w:rPr>
                <w:rFonts w:ascii="Arial" w:cs="Arial" w:eastAsia="Arial" w:hAnsi="Arial"/>
                <w:sz w:val="16"/>
                <w:szCs w:val="16"/>
                <w:b w:val="1"/>
                <w:bCs w:val="1"/>
                <w:color w:val="auto"/>
                <w:w w:val="79"/>
              </w:rPr>
              <w:t>Losses</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120" w:type="dxa"/>
            <w:vAlign w:val="bottom"/>
          </w:tcPr>
          <w:p>
            <w:pPr>
              <w:spacing w:after="0"/>
              <w:rPr>
                <w:sz w:val="21"/>
                <w:szCs w:val="21"/>
                <w:color w:val="auto"/>
              </w:rPr>
            </w:pPr>
          </w:p>
        </w:tc>
        <w:tc>
          <w:tcPr>
            <w:tcW w:w="960" w:type="dxa"/>
            <w:vAlign w:val="bottom"/>
            <w:tcBorders>
              <w:bottom w:val="single" w:sz="8" w:color="auto"/>
            </w:tcBorders>
            <w:gridSpan w:val="2"/>
          </w:tcPr>
          <w:p>
            <w:pPr>
              <w:jc w:val="center"/>
              <w:ind w:right="3"/>
              <w:spacing w:after="0"/>
              <w:rPr>
                <w:sz w:val="20"/>
                <w:szCs w:val="20"/>
                <w:color w:val="auto"/>
              </w:rPr>
            </w:pPr>
            <w:r>
              <w:rPr>
                <w:rFonts w:ascii="Arial" w:cs="Arial" w:eastAsia="Arial" w:hAnsi="Arial"/>
                <w:sz w:val="16"/>
                <w:szCs w:val="16"/>
                <w:b w:val="1"/>
                <w:bCs w:val="1"/>
                <w:color w:val="auto"/>
                <w:w w:val="96"/>
              </w:rPr>
              <w:t>Fair Value</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79"/>
              </w:rPr>
              <w:t>Losses</w:t>
            </w:r>
          </w:p>
        </w:tc>
        <w:tc>
          <w:tcPr>
            <w:tcW w:w="60" w:type="dxa"/>
            <w:vAlign w:val="bottom"/>
            <w:gridSpan w:val="2"/>
          </w:tcPr>
          <w:p>
            <w:pPr>
              <w:spacing w:after="0"/>
              <w:rPr>
                <w:sz w:val="21"/>
                <w:szCs w:val="2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b w:val="1"/>
                <w:bCs w:val="1"/>
                <w:color w:val="auto"/>
                <w:w w:val="92"/>
              </w:rPr>
              <w:t>Asset-backed securities</w:t>
            </w:r>
          </w:p>
        </w:tc>
        <w:tc>
          <w:tcPr>
            <w:tcW w:w="380" w:type="dxa"/>
            <w:vAlign w:val="bottom"/>
            <w:gridSpan w:val="3"/>
          </w:tcPr>
          <w:p>
            <w:pPr>
              <w:jc w:val="right"/>
              <w:ind w:right="140"/>
              <w:spacing w:after="0"/>
              <w:rPr>
                <w:sz w:val="20"/>
                <w:szCs w:val="20"/>
                <w:color w:val="auto"/>
              </w:rPr>
            </w:pPr>
            <w:r>
              <w:rPr>
                <w:rFonts w:ascii="Arial" w:cs="Arial" w:eastAsia="Arial" w:hAnsi="Arial"/>
                <w:sz w:val="20"/>
                <w:szCs w:val="20"/>
                <w:b w:val="1"/>
                <w:bCs w:val="1"/>
                <w:color w:val="auto"/>
              </w:rPr>
              <w:t>$</w:t>
            </w:r>
          </w:p>
        </w:tc>
        <w:tc>
          <w:tcPr>
            <w:tcW w:w="1340" w:type="dxa"/>
            <w:vAlign w:val="bottom"/>
          </w:tcPr>
          <w:p>
            <w:pPr>
              <w:jc w:val="right"/>
              <w:ind w:right="7"/>
              <w:spacing w:after="0"/>
              <w:rPr>
                <w:sz w:val="20"/>
                <w:szCs w:val="20"/>
                <w:color w:val="auto"/>
              </w:rPr>
            </w:pPr>
            <w:r>
              <w:rPr>
                <w:rFonts w:ascii="Arial" w:cs="Arial" w:eastAsia="Arial" w:hAnsi="Arial"/>
                <w:sz w:val="20"/>
                <w:szCs w:val="20"/>
                <w:b w:val="1"/>
                <w:bCs w:val="1"/>
                <w:color w:val="auto"/>
              </w:rPr>
              <w:t>1,003</w:t>
            </w:r>
          </w:p>
        </w:tc>
        <w:tc>
          <w:tcPr>
            <w:tcW w:w="240" w:type="dxa"/>
            <w:vAlign w:val="bottom"/>
            <w:gridSpan w:val="3"/>
          </w:tcPr>
          <w:p>
            <w:pPr>
              <w:jc w:val="right"/>
              <w:ind w:right="2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ind w:left="680"/>
              <w:spacing w:after="0"/>
              <w:rPr>
                <w:sz w:val="20"/>
                <w:szCs w:val="20"/>
                <w:color w:val="auto"/>
              </w:rPr>
            </w:pPr>
            <w:r>
              <w:rPr>
                <w:rFonts w:ascii="Arial" w:cs="Arial" w:eastAsia="Arial" w:hAnsi="Arial"/>
                <w:sz w:val="20"/>
                <w:szCs w:val="20"/>
                <w:b w:val="1"/>
                <w:bCs w:val="1"/>
                <w:color w:val="auto"/>
              </w:rPr>
              <w:t>—</w:t>
            </w:r>
          </w:p>
        </w:tc>
        <w:tc>
          <w:tcPr>
            <w:tcW w:w="240" w:type="dxa"/>
            <w:vAlign w:val="bottom"/>
            <w:gridSpan w:val="3"/>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ind w:right="7"/>
              <w:spacing w:after="0"/>
              <w:rPr>
                <w:sz w:val="20"/>
                <w:szCs w:val="20"/>
                <w:color w:val="auto"/>
              </w:rPr>
            </w:pPr>
            <w:r>
              <w:rPr>
                <w:rFonts w:ascii="Arial" w:cs="Arial" w:eastAsia="Arial" w:hAnsi="Arial"/>
                <w:sz w:val="20"/>
                <w:szCs w:val="20"/>
                <w:b w:val="1"/>
                <w:bCs w:val="1"/>
                <w:color w:val="auto"/>
              </w:rPr>
              <w:t>4,337</w:t>
            </w:r>
          </w:p>
        </w:tc>
        <w:tc>
          <w:tcPr>
            <w:tcW w:w="240" w:type="dxa"/>
            <w:vAlign w:val="bottom"/>
            <w:gridSpan w:val="3"/>
          </w:tcPr>
          <w:p>
            <w:pPr>
              <w:jc w:val="right"/>
              <w:ind w:right="20"/>
              <w:spacing w:after="0"/>
              <w:rPr>
                <w:sz w:val="20"/>
                <w:szCs w:val="20"/>
                <w:color w:val="auto"/>
              </w:rPr>
            </w:pPr>
            <w:r>
              <w:rPr>
                <w:rFonts w:ascii="Arial" w:cs="Arial" w:eastAsia="Arial" w:hAnsi="Arial"/>
                <w:sz w:val="20"/>
                <w:szCs w:val="20"/>
                <w:b w:val="1"/>
                <w:bCs w:val="1"/>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ind w:right="3"/>
              <w:spacing w:after="0"/>
              <w:rPr>
                <w:sz w:val="20"/>
                <w:szCs w:val="20"/>
                <w:color w:val="auto"/>
              </w:rPr>
            </w:pPr>
            <w:r>
              <w:rPr>
                <w:rFonts w:ascii="Arial" w:cs="Arial" w:eastAsia="Arial" w:hAnsi="Arial"/>
                <w:sz w:val="20"/>
                <w:szCs w:val="20"/>
                <w:b w:val="1"/>
                <w:bCs w:val="1"/>
                <w:color w:val="auto"/>
              </w:rPr>
              <w:t>5,340</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780" w:type="dxa"/>
            <w:vAlign w:val="bottom"/>
            <w:gridSpan w:val="4"/>
          </w:tcPr>
          <w:p>
            <w:pPr>
              <w:jc w:val="right"/>
              <w:ind w:right="60"/>
              <w:spacing w:after="0"/>
              <w:rPr>
                <w:sz w:val="20"/>
                <w:szCs w:val="20"/>
                <w:color w:val="auto"/>
              </w:rPr>
            </w:pPr>
            <w:r>
              <w:rPr>
                <w:rFonts w:ascii="Arial" w:cs="Arial" w:eastAsia="Arial" w:hAnsi="Arial"/>
                <w:sz w:val="20"/>
                <w:szCs w:val="20"/>
                <w:b w:val="1"/>
                <w:bCs w:val="1"/>
                <w:color w:val="auto"/>
              </w:rPr>
              <w:t>—</w:t>
            </w:r>
          </w:p>
        </w:tc>
      </w:tr>
      <w:tr>
        <w:trPr>
          <w:trHeight w:val="245"/>
        </w:trPr>
        <w:tc>
          <w:tcPr>
            <w:tcW w:w="2140" w:type="dxa"/>
            <w:vAlign w:val="bottom"/>
          </w:tcPr>
          <w:p>
            <w:pPr>
              <w:spacing w:after="0"/>
              <w:rPr>
                <w:sz w:val="20"/>
                <w:szCs w:val="20"/>
                <w:color w:val="auto"/>
              </w:rPr>
            </w:pPr>
            <w:r>
              <w:rPr>
                <w:rFonts w:ascii="Arial" w:cs="Arial" w:eastAsia="Arial" w:hAnsi="Arial"/>
                <w:sz w:val="20"/>
                <w:szCs w:val="20"/>
                <w:b w:val="1"/>
                <w:bCs w:val="1"/>
                <w:color w:val="auto"/>
                <w:w w:val="95"/>
              </w:rPr>
              <w:t>U.S. treasury securities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
              <w:spacing w:after="0"/>
              <w:rPr>
                <w:sz w:val="20"/>
                <w:szCs w:val="20"/>
                <w:color w:val="auto"/>
              </w:rPr>
            </w:pPr>
            <w:r>
              <w:rPr>
                <w:rFonts w:ascii="Arial" w:cs="Arial" w:eastAsia="Arial" w:hAnsi="Arial"/>
                <w:sz w:val="20"/>
                <w:szCs w:val="20"/>
                <w:b w:val="1"/>
                <w:bCs w:val="1"/>
                <w:color w:val="auto"/>
              </w:rPr>
              <w:t>992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ind w:left="680"/>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ind w:right="7"/>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
              <w:spacing w:after="0"/>
              <w:rPr>
                <w:sz w:val="20"/>
                <w:szCs w:val="20"/>
                <w:color w:val="auto"/>
              </w:rPr>
            </w:pPr>
            <w:r>
              <w:rPr>
                <w:rFonts w:ascii="Arial" w:cs="Arial" w:eastAsia="Arial" w:hAnsi="Arial"/>
                <w:sz w:val="20"/>
                <w:szCs w:val="20"/>
                <w:b w:val="1"/>
                <w:bCs w:val="1"/>
                <w:color w:val="auto"/>
              </w:rPr>
              <w:t>992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20"/>
                <w:szCs w:val="20"/>
                <w:b w:val="1"/>
                <w:bCs w:val="1"/>
                <w:color w:val="auto"/>
              </w:rPr>
              <w:t>—</w:t>
            </w:r>
          </w:p>
        </w:tc>
      </w:tr>
      <w:tr>
        <w:trPr>
          <w:trHeight w:val="245"/>
        </w:trPr>
        <w:tc>
          <w:tcPr>
            <w:tcW w:w="2140" w:type="dxa"/>
            <w:vAlign w:val="bottom"/>
          </w:tcPr>
          <w:p>
            <w:pPr>
              <w:spacing w:after="0"/>
              <w:rPr>
                <w:sz w:val="20"/>
                <w:szCs w:val="20"/>
                <w:color w:val="auto"/>
              </w:rPr>
            </w:pPr>
            <w:r>
              <w:rPr>
                <w:rFonts w:ascii="Arial" w:cs="Arial" w:eastAsia="Arial" w:hAnsi="Arial"/>
                <w:sz w:val="20"/>
                <w:szCs w:val="20"/>
                <w:b w:val="1"/>
                <w:bCs w:val="1"/>
                <w:color w:val="auto"/>
                <w:w w:val="93"/>
              </w:rPr>
              <w:t>Other agency securities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
              <w:spacing w:after="0"/>
              <w:rPr>
                <w:sz w:val="20"/>
                <w:szCs w:val="20"/>
                <w:color w:val="auto"/>
              </w:rPr>
            </w:pPr>
            <w:r>
              <w:rPr>
                <w:rFonts w:ascii="Arial" w:cs="Arial" w:eastAsia="Arial" w:hAnsi="Arial"/>
                <w:sz w:val="20"/>
                <w:szCs w:val="20"/>
                <w:b w:val="1"/>
                <w:bCs w:val="1"/>
                <w:color w:val="auto"/>
              </w:rPr>
              <w:t>995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ind w:left="680"/>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ind w:right="7"/>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
              <w:spacing w:after="0"/>
              <w:rPr>
                <w:sz w:val="20"/>
                <w:szCs w:val="20"/>
                <w:color w:val="auto"/>
              </w:rPr>
            </w:pPr>
            <w:r>
              <w:rPr>
                <w:rFonts w:ascii="Arial" w:cs="Arial" w:eastAsia="Arial" w:hAnsi="Arial"/>
                <w:sz w:val="20"/>
                <w:szCs w:val="20"/>
                <w:b w:val="1"/>
                <w:bCs w:val="1"/>
                <w:color w:val="auto"/>
              </w:rPr>
              <w:t>995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20"/>
                <w:szCs w:val="20"/>
                <w:b w:val="1"/>
                <w:bCs w:val="1"/>
                <w:color w:val="auto"/>
              </w:rPr>
              <w:t>—</w:t>
            </w:r>
          </w:p>
        </w:tc>
      </w:tr>
      <w:tr>
        <w:trPr>
          <w:trHeight w:val="242"/>
        </w:trPr>
        <w:tc>
          <w:tcPr>
            <w:tcW w:w="2140" w:type="dxa"/>
            <w:vAlign w:val="bottom"/>
          </w:tcPr>
          <w:p>
            <w:pPr>
              <w:spacing w:after="0"/>
              <w:rPr>
                <w:sz w:val="20"/>
                <w:szCs w:val="20"/>
                <w:color w:val="auto"/>
              </w:rPr>
            </w:pPr>
            <w:r>
              <w:rPr>
                <w:rFonts w:ascii="Arial" w:cs="Arial" w:eastAsia="Arial" w:hAnsi="Arial"/>
                <w:sz w:val="20"/>
                <w:szCs w:val="20"/>
                <w:b w:val="1"/>
                <w:bCs w:val="1"/>
                <w:color w:val="auto"/>
              </w:rPr>
              <w:t>Commercial paper</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
              <w:spacing w:after="0"/>
              <w:rPr>
                <w:sz w:val="20"/>
                <w:szCs w:val="20"/>
                <w:color w:val="auto"/>
              </w:rPr>
            </w:pPr>
            <w:r>
              <w:rPr>
                <w:rFonts w:ascii="Arial" w:cs="Arial" w:eastAsia="Arial" w:hAnsi="Arial"/>
                <w:sz w:val="20"/>
                <w:szCs w:val="20"/>
                <w:b w:val="1"/>
                <w:bCs w:val="1"/>
                <w:color w:val="auto"/>
              </w:rPr>
              <w:t>7,683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ind w:left="680"/>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ind w:right="7"/>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
              <w:spacing w:after="0"/>
              <w:rPr>
                <w:sz w:val="20"/>
                <w:szCs w:val="20"/>
                <w:color w:val="auto"/>
              </w:rPr>
            </w:pPr>
            <w:r>
              <w:rPr>
                <w:rFonts w:ascii="Arial" w:cs="Arial" w:eastAsia="Arial" w:hAnsi="Arial"/>
                <w:sz w:val="20"/>
                <w:szCs w:val="20"/>
                <w:b w:val="1"/>
                <w:bCs w:val="1"/>
                <w:color w:val="auto"/>
              </w:rPr>
              <w:t>7,683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20"/>
                <w:szCs w:val="20"/>
                <w:b w:val="1"/>
                <w:bCs w:val="1"/>
                <w:color w:val="auto"/>
              </w:rPr>
              <w:t>—</w:t>
            </w:r>
          </w:p>
        </w:tc>
      </w:tr>
      <w:tr>
        <w:trPr>
          <w:trHeight w:val="245"/>
        </w:trPr>
        <w:tc>
          <w:tcPr>
            <w:tcW w:w="2140" w:type="dxa"/>
            <w:vAlign w:val="bottom"/>
          </w:tcPr>
          <w:p>
            <w:pPr>
              <w:spacing w:after="0"/>
              <w:rPr>
                <w:sz w:val="20"/>
                <w:szCs w:val="20"/>
                <w:color w:val="auto"/>
              </w:rPr>
            </w:pPr>
            <w:r>
              <w:rPr>
                <w:rFonts w:ascii="Arial" w:cs="Arial" w:eastAsia="Arial" w:hAnsi="Arial"/>
                <w:sz w:val="20"/>
                <w:szCs w:val="20"/>
                <w:b w:val="1"/>
                <w:bCs w:val="1"/>
                <w:color w:val="auto"/>
                <w:w w:val="87"/>
              </w:rPr>
              <w:t>Corporate debt securities</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b w:val="1"/>
                <w:bCs w:val="1"/>
                <w:color w:val="auto"/>
              </w:rPr>
              <w:t>5,129</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680"/>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b w:val="1"/>
                <w:bCs w:val="1"/>
                <w:color w:val="auto"/>
              </w:rPr>
              <w:t>5,129</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gridSpan w:val="2"/>
          </w:tcPr>
          <w:p>
            <w:pPr>
              <w:spacing w:after="0"/>
              <w:rPr>
                <w:sz w:val="21"/>
                <w:szCs w:val="21"/>
                <w:color w:val="auto"/>
              </w:rPr>
            </w:pPr>
          </w:p>
        </w:tc>
      </w:tr>
      <w:tr>
        <w:trPr>
          <w:trHeight w:val="239"/>
        </w:trPr>
        <w:tc>
          <w:tcPr>
            <w:tcW w:w="214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380" w:type="dxa"/>
            <w:vAlign w:val="bottom"/>
            <w:gridSpan w:val="3"/>
          </w:tcPr>
          <w:p>
            <w:pPr>
              <w:jc w:val="right"/>
              <w:ind w:right="140"/>
              <w:spacing w:after="0"/>
              <w:rPr>
                <w:sz w:val="20"/>
                <w:szCs w:val="20"/>
                <w:color w:val="auto"/>
              </w:rPr>
            </w:pPr>
            <w:r>
              <w:rPr>
                <w:rFonts w:ascii="Arial" w:cs="Arial" w:eastAsia="Arial" w:hAnsi="Arial"/>
                <w:sz w:val="20"/>
                <w:szCs w:val="20"/>
                <w:b w:val="1"/>
                <w:bCs w:val="1"/>
                <w:color w:val="auto"/>
              </w:rPr>
              <w:t>$</w:t>
            </w:r>
          </w:p>
        </w:tc>
        <w:tc>
          <w:tcPr>
            <w:tcW w:w="1340" w:type="dxa"/>
            <w:vAlign w:val="bottom"/>
          </w:tcPr>
          <w:p>
            <w:pPr>
              <w:jc w:val="right"/>
              <w:ind w:right="7"/>
              <w:spacing w:after="0"/>
              <w:rPr>
                <w:sz w:val="20"/>
                <w:szCs w:val="20"/>
                <w:color w:val="auto"/>
              </w:rPr>
            </w:pPr>
            <w:r>
              <w:rPr>
                <w:rFonts w:ascii="Arial" w:cs="Arial" w:eastAsia="Arial" w:hAnsi="Arial"/>
                <w:sz w:val="20"/>
                <w:szCs w:val="20"/>
                <w:b w:val="1"/>
                <w:bCs w:val="1"/>
                <w:color w:val="auto"/>
              </w:rPr>
              <w:t>15,802</w:t>
            </w:r>
          </w:p>
        </w:tc>
        <w:tc>
          <w:tcPr>
            <w:tcW w:w="240" w:type="dxa"/>
            <w:vAlign w:val="bottom"/>
            <w:gridSpan w:val="3"/>
          </w:tcPr>
          <w:p>
            <w:pPr>
              <w:jc w:val="right"/>
              <w:ind w:right="2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ind w:left="680"/>
              <w:spacing w:after="0"/>
              <w:rPr>
                <w:sz w:val="20"/>
                <w:szCs w:val="20"/>
                <w:color w:val="auto"/>
              </w:rPr>
            </w:pPr>
            <w:r>
              <w:rPr>
                <w:rFonts w:ascii="Arial" w:cs="Arial" w:eastAsia="Arial" w:hAnsi="Arial"/>
                <w:sz w:val="20"/>
                <w:szCs w:val="20"/>
                <w:b w:val="1"/>
                <w:bCs w:val="1"/>
                <w:color w:val="auto"/>
              </w:rPr>
              <w:t>—</w:t>
            </w:r>
          </w:p>
        </w:tc>
        <w:tc>
          <w:tcPr>
            <w:tcW w:w="240" w:type="dxa"/>
            <w:vAlign w:val="bottom"/>
            <w:gridSpan w:val="3"/>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ind w:right="7"/>
              <w:spacing w:after="0"/>
              <w:rPr>
                <w:sz w:val="20"/>
                <w:szCs w:val="20"/>
                <w:color w:val="auto"/>
              </w:rPr>
            </w:pPr>
            <w:r>
              <w:rPr>
                <w:rFonts w:ascii="Arial" w:cs="Arial" w:eastAsia="Arial" w:hAnsi="Arial"/>
                <w:sz w:val="20"/>
                <w:szCs w:val="20"/>
                <w:b w:val="1"/>
                <w:bCs w:val="1"/>
                <w:color w:val="auto"/>
              </w:rPr>
              <w:t>4,337</w:t>
            </w:r>
          </w:p>
        </w:tc>
        <w:tc>
          <w:tcPr>
            <w:tcW w:w="240" w:type="dxa"/>
            <w:vAlign w:val="bottom"/>
            <w:gridSpan w:val="3"/>
          </w:tcPr>
          <w:p>
            <w:pPr>
              <w:jc w:val="right"/>
              <w:ind w:right="20"/>
              <w:spacing w:after="0"/>
              <w:rPr>
                <w:sz w:val="20"/>
                <w:szCs w:val="20"/>
                <w:color w:val="auto"/>
              </w:rPr>
            </w:pPr>
            <w:r>
              <w:rPr>
                <w:rFonts w:ascii="Arial" w:cs="Arial" w:eastAsia="Arial" w:hAnsi="Arial"/>
                <w:sz w:val="20"/>
                <w:szCs w:val="20"/>
                <w:b w:val="1"/>
                <w:bCs w:val="1"/>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ind w:right="3"/>
              <w:spacing w:after="0"/>
              <w:rPr>
                <w:sz w:val="20"/>
                <w:szCs w:val="20"/>
                <w:color w:val="auto"/>
              </w:rPr>
            </w:pPr>
            <w:r>
              <w:rPr>
                <w:rFonts w:ascii="Arial" w:cs="Arial" w:eastAsia="Arial" w:hAnsi="Arial"/>
                <w:sz w:val="20"/>
                <w:szCs w:val="20"/>
                <w:b w:val="1"/>
                <w:bCs w:val="1"/>
                <w:color w:val="auto"/>
              </w:rPr>
              <w:t>20,139</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780" w:type="dxa"/>
            <w:vAlign w:val="bottom"/>
            <w:gridSpan w:val="4"/>
          </w:tcPr>
          <w:p>
            <w:pPr>
              <w:jc w:val="right"/>
              <w:ind w:right="60"/>
              <w:spacing w:after="0"/>
              <w:rPr>
                <w:sz w:val="20"/>
                <w:szCs w:val="20"/>
                <w:color w:val="auto"/>
              </w:rPr>
            </w:pPr>
            <w:r>
              <w:rPr>
                <w:rFonts w:ascii="Arial" w:cs="Arial" w:eastAsia="Arial" w:hAnsi="Arial"/>
                <w:sz w:val="20"/>
                <w:szCs w:val="20"/>
                <w:b w:val="1"/>
                <w:bCs w:val="1"/>
                <w:color w:val="auto"/>
              </w:rPr>
              <w:t>—</w:t>
            </w:r>
          </w:p>
        </w:tc>
      </w:tr>
      <w:tr>
        <w:trPr>
          <w:trHeight w:val="520"/>
        </w:trPr>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ind w:left="60"/>
              <w:spacing w:after="0"/>
              <w:rPr>
                <w:sz w:val="20"/>
                <w:szCs w:val="20"/>
                <w:color w:val="auto"/>
              </w:rPr>
            </w:pPr>
            <w:r>
              <w:rPr>
                <w:rFonts w:ascii="Arial" w:cs="Arial" w:eastAsia="Arial" w:hAnsi="Arial"/>
                <w:sz w:val="16"/>
                <w:szCs w:val="16"/>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9"/>
        </w:trPr>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Less Than 12 Months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More Than 12 Months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Total</w:t>
            </w: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0"/>
        </w:trPr>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ind w:left="160"/>
              <w:spacing w:after="0"/>
              <w:rPr>
                <w:sz w:val="20"/>
                <w:szCs w:val="20"/>
                <w:color w:val="auto"/>
              </w:rPr>
            </w:pPr>
            <w:r>
              <w:rPr>
                <w:rFonts w:ascii="Arial" w:cs="Arial" w:eastAsia="Arial" w:hAnsi="Arial"/>
                <w:sz w:val="16"/>
                <w:szCs w:val="16"/>
                <w:b w:val="1"/>
                <w:bCs w:val="1"/>
                <w:color w:val="auto"/>
              </w:rPr>
              <w:t>Estimated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26"/>
              <w:spacing w:after="0"/>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ind w:left="40"/>
              <w:spacing w:after="0"/>
              <w:rPr>
                <w:sz w:val="20"/>
                <w:szCs w:val="20"/>
                <w:color w:val="auto"/>
              </w:rPr>
            </w:pPr>
            <w:r>
              <w:rPr>
                <w:rFonts w:ascii="Arial" w:cs="Arial" w:eastAsia="Arial" w:hAnsi="Arial"/>
                <w:sz w:val="16"/>
                <w:szCs w:val="16"/>
                <w:b w:val="1"/>
                <w:bCs w:val="1"/>
                <w:color w:val="auto"/>
              </w:rPr>
              <w:t>Estimated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20"/>
                <w:szCs w:val="20"/>
                <w:color w:val="auto"/>
              </w:rPr>
            </w:pPr>
          </w:p>
        </w:tc>
        <w:tc>
          <w:tcPr>
            <w:tcW w:w="960" w:type="dxa"/>
            <w:vAlign w:val="bottom"/>
            <w:gridSpan w:val="2"/>
          </w:tcPr>
          <w:p>
            <w:pPr>
              <w:jc w:val="center"/>
              <w:ind w:right="23"/>
              <w:spacing w:after="0"/>
              <w:rPr>
                <w:sz w:val="20"/>
                <w:szCs w:val="20"/>
                <w:color w:val="auto"/>
              </w:rPr>
            </w:pPr>
            <w:r>
              <w:rPr>
                <w:rFonts w:ascii="Arial" w:cs="Arial" w:eastAsia="Arial" w:hAnsi="Arial"/>
                <w:sz w:val="16"/>
                <w:szCs w:val="16"/>
                <w:b w:val="1"/>
                <w:bCs w:val="1"/>
                <w:color w:val="auto"/>
                <w:w w:val="88"/>
              </w:rPr>
              <w:t>Estimated</w:t>
            </w:r>
          </w:p>
        </w:tc>
        <w:tc>
          <w:tcPr>
            <w:tcW w:w="120" w:type="dxa"/>
            <w:vAlign w:val="bottom"/>
          </w:tcPr>
          <w:p>
            <w:pPr>
              <w:spacing w:after="0"/>
              <w:rPr>
                <w:sz w:val="20"/>
                <w:szCs w:val="20"/>
                <w:color w:val="auto"/>
              </w:rPr>
            </w:pPr>
          </w:p>
        </w:tc>
        <w:tc>
          <w:tcPr>
            <w:tcW w:w="9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1"/>
              </w:rPr>
              <w:t>Unrealized</w:t>
            </w:r>
          </w:p>
        </w:tc>
      </w:tr>
      <w:tr>
        <w:trPr>
          <w:trHeight w:val="243"/>
        </w:trPr>
        <w:tc>
          <w:tcPr>
            <w:tcW w:w="2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26"/>
              <w:spacing w:after="0"/>
              <w:rPr>
                <w:sz w:val="20"/>
                <w:szCs w:val="20"/>
                <w:color w:val="auto"/>
              </w:rPr>
            </w:pPr>
            <w:r>
              <w:rPr>
                <w:rFonts w:ascii="Arial" w:cs="Arial" w:eastAsia="Arial" w:hAnsi="Arial"/>
                <w:sz w:val="16"/>
                <w:szCs w:val="16"/>
                <w:b w:val="1"/>
                <w:bCs w:val="1"/>
                <w:color w:val="auto"/>
                <w:w w:val="83"/>
              </w:rPr>
              <w:t>Losses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26"/>
              <w:spacing w:after="0"/>
              <w:rPr>
                <w:sz w:val="20"/>
                <w:szCs w:val="20"/>
                <w:color w:val="auto"/>
              </w:rPr>
            </w:pPr>
            <w:r>
              <w:rPr>
                <w:rFonts w:ascii="Arial" w:cs="Arial" w:eastAsia="Arial" w:hAnsi="Arial"/>
                <w:sz w:val="16"/>
                <w:szCs w:val="16"/>
                <w:b w:val="1"/>
                <w:bCs w:val="1"/>
                <w:color w:val="auto"/>
                <w:w w:val="79"/>
              </w:rPr>
              <w:t>Losses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Borders>
              <w:bottom w:val="single" w:sz="8" w:color="auto"/>
            </w:tcBorders>
            <w:gridSpan w:val="2"/>
          </w:tcPr>
          <w:p>
            <w:pPr>
              <w:jc w:val="center"/>
              <w:ind w:right="23"/>
              <w:spacing w:after="0"/>
              <w:rPr>
                <w:sz w:val="20"/>
                <w:szCs w:val="20"/>
                <w:color w:val="auto"/>
              </w:rPr>
            </w:pPr>
            <w:r>
              <w:rPr>
                <w:rFonts w:ascii="Arial" w:cs="Arial" w:eastAsia="Arial" w:hAnsi="Arial"/>
                <w:sz w:val="16"/>
                <w:szCs w:val="16"/>
                <w:b w:val="1"/>
                <w:bCs w:val="1"/>
                <w:color w:val="auto"/>
                <w:w w:val="94"/>
              </w:rPr>
              <w:t>Fair Value</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63"/>
              <w:spacing w:after="0"/>
              <w:rPr>
                <w:sz w:val="20"/>
                <w:szCs w:val="20"/>
                <w:color w:val="auto"/>
              </w:rPr>
            </w:pPr>
            <w:r>
              <w:rPr>
                <w:rFonts w:ascii="Arial" w:cs="Arial" w:eastAsia="Arial" w:hAnsi="Arial"/>
                <w:sz w:val="16"/>
                <w:szCs w:val="16"/>
                <w:b w:val="1"/>
                <w:bCs w:val="1"/>
                <w:color w:val="auto"/>
                <w:w w:val="83"/>
              </w:rPr>
              <w:t>Losses</w:t>
            </w:r>
          </w:p>
        </w:tc>
        <w:tc>
          <w:tcPr>
            <w:tcW w:w="80" w:type="dxa"/>
            <w:vAlign w:val="bottom"/>
            <w:gridSpan w:val="3"/>
          </w:tcPr>
          <w:p>
            <w:pPr>
              <w:spacing w:after="0"/>
              <w:rPr>
                <w:sz w:val="21"/>
                <w:szCs w:val="21"/>
                <w:color w:val="auto"/>
              </w:rPr>
            </w:pPr>
          </w:p>
        </w:tc>
      </w:tr>
      <w:tr>
        <w:trPr>
          <w:trHeight w:val="239"/>
        </w:trPr>
        <w:tc>
          <w:tcPr>
            <w:tcW w:w="2140" w:type="dxa"/>
            <w:vAlign w:val="bottom"/>
          </w:tcPr>
          <w:p>
            <w:pPr>
              <w:spacing w:after="0"/>
              <w:rPr>
                <w:sz w:val="20"/>
                <w:szCs w:val="20"/>
                <w:color w:val="auto"/>
              </w:rPr>
            </w:pPr>
            <w:r>
              <w:rPr>
                <w:rFonts w:ascii="Arial" w:cs="Arial" w:eastAsia="Arial" w:hAnsi="Arial"/>
                <w:sz w:val="20"/>
                <w:szCs w:val="20"/>
                <w:b w:val="1"/>
                <w:bCs w:val="1"/>
                <w:color w:val="auto"/>
                <w:w w:val="92"/>
              </w:rPr>
              <w:t>Asset-backed securities</w:t>
            </w:r>
          </w:p>
        </w:tc>
        <w:tc>
          <w:tcPr>
            <w:tcW w:w="380" w:type="dxa"/>
            <w:vAlign w:val="bottom"/>
            <w:gridSpan w:val="3"/>
          </w:tcPr>
          <w:p>
            <w:pPr>
              <w:jc w:val="right"/>
              <w:ind w:right="140"/>
              <w:spacing w:after="0"/>
              <w:rPr>
                <w:sz w:val="20"/>
                <w:szCs w:val="20"/>
                <w:color w:val="auto"/>
              </w:rPr>
            </w:pPr>
            <w:r>
              <w:rPr>
                <w:rFonts w:ascii="Arial" w:cs="Arial" w:eastAsia="Arial" w:hAnsi="Arial"/>
                <w:sz w:val="20"/>
                <w:szCs w:val="20"/>
                <w:b w:val="1"/>
                <w:bCs w:val="1"/>
                <w:color w:val="auto"/>
              </w:rPr>
              <w:t>$</w:t>
            </w:r>
          </w:p>
        </w:tc>
        <w:tc>
          <w:tcPr>
            <w:tcW w:w="1340" w:type="dxa"/>
            <w:vAlign w:val="bottom"/>
          </w:tcPr>
          <w:p>
            <w:pPr>
              <w:jc w:val="right"/>
              <w:ind w:right="7"/>
              <w:spacing w:after="0"/>
              <w:rPr>
                <w:sz w:val="20"/>
                <w:szCs w:val="20"/>
                <w:color w:val="auto"/>
              </w:rPr>
            </w:pPr>
            <w:r>
              <w:rPr>
                <w:rFonts w:ascii="Arial" w:cs="Arial" w:eastAsia="Arial" w:hAnsi="Arial"/>
                <w:sz w:val="20"/>
                <w:szCs w:val="20"/>
                <w:b w:val="1"/>
                <w:bCs w:val="1"/>
                <w:color w:val="auto"/>
              </w:rPr>
              <w:t>2,000</w:t>
            </w:r>
          </w:p>
        </w:tc>
        <w:tc>
          <w:tcPr>
            <w:tcW w:w="240" w:type="dxa"/>
            <w:vAlign w:val="bottom"/>
            <w:gridSpan w:val="3"/>
          </w:tcPr>
          <w:p>
            <w:pPr>
              <w:jc w:val="right"/>
              <w:ind w:right="2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ind w:left="680"/>
              <w:spacing w:after="0"/>
              <w:rPr>
                <w:sz w:val="20"/>
                <w:szCs w:val="20"/>
                <w:color w:val="auto"/>
              </w:rPr>
            </w:pPr>
            <w:r>
              <w:rPr>
                <w:rFonts w:ascii="Arial" w:cs="Arial" w:eastAsia="Arial" w:hAnsi="Arial"/>
                <w:sz w:val="20"/>
                <w:szCs w:val="20"/>
                <w:b w:val="1"/>
                <w:bCs w:val="1"/>
                <w:color w:val="auto"/>
              </w:rPr>
              <w:t>—</w:t>
            </w:r>
          </w:p>
        </w:tc>
        <w:tc>
          <w:tcPr>
            <w:tcW w:w="240" w:type="dxa"/>
            <w:vAlign w:val="bottom"/>
            <w:gridSpan w:val="3"/>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ind w:right="7"/>
              <w:spacing w:after="0"/>
              <w:rPr>
                <w:sz w:val="20"/>
                <w:szCs w:val="20"/>
                <w:color w:val="auto"/>
              </w:rPr>
            </w:pPr>
            <w:r>
              <w:rPr>
                <w:rFonts w:ascii="Arial" w:cs="Arial" w:eastAsia="Arial" w:hAnsi="Arial"/>
                <w:sz w:val="20"/>
                <w:szCs w:val="20"/>
                <w:b w:val="1"/>
                <w:bCs w:val="1"/>
                <w:color w:val="auto"/>
              </w:rPr>
              <w:t>18,034</w:t>
            </w:r>
          </w:p>
        </w:tc>
        <w:tc>
          <w:tcPr>
            <w:tcW w:w="240" w:type="dxa"/>
            <w:vAlign w:val="bottom"/>
            <w:gridSpan w:val="3"/>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(10</w:t>
            </w:r>
            <w:r>
              <w:rPr>
                <w:rFonts w:ascii="Arial" w:cs="Arial" w:eastAsia="Arial" w:hAnsi="Arial"/>
                <w:sz w:val="20"/>
                <w:szCs w:val="20"/>
                <w:b w:val="1"/>
                <w:bCs w:val="1"/>
                <w:color w:val="auto"/>
                <w:shd w:val="clear" w:color="auto" w:fill="E5E5E5"/>
              </w:rPr>
              <w:t>)</w:t>
            </w:r>
          </w:p>
        </w:tc>
        <w:tc>
          <w:tcPr>
            <w:tcW w:w="20" w:type="dxa"/>
            <w:vAlign w:val="bottom"/>
          </w:tcPr>
          <w:p>
            <w:pPr>
              <w:spacing w:after="0"/>
              <w:rPr>
                <w:sz w:val="20"/>
                <w:szCs w:val="20"/>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ind w:right="3"/>
              <w:spacing w:after="0"/>
              <w:rPr>
                <w:sz w:val="20"/>
                <w:szCs w:val="20"/>
                <w:color w:val="auto"/>
              </w:rPr>
            </w:pPr>
            <w:r>
              <w:rPr>
                <w:rFonts w:ascii="Arial" w:cs="Arial" w:eastAsia="Arial" w:hAnsi="Arial"/>
                <w:sz w:val="20"/>
                <w:szCs w:val="20"/>
                <w:b w:val="1"/>
                <w:bCs w:val="1"/>
                <w:color w:val="auto"/>
              </w:rPr>
              <w:t>20,034</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780" w:type="dxa"/>
            <w:vAlign w:val="bottom"/>
            <w:gridSpan w:val="4"/>
          </w:tcPr>
          <w:p>
            <w:pPr>
              <w:jc w:val="right"/>
              <w:spacing w:after="0"/>
              <w:rPr>
                <w:sz w:val="20"/>
                <w:szCs w:val="20"/>
                <w:color w:val="auto"/>
              </w:rPr>
            </w:pPr>
            <w:r>
              <w:rPr>
                <w:rFonts w:ascii="Arial" w:cs="Arial" w:eastAsia="Arial" w:hAnsi="Arial"/>
                <w:sz w:val="20"/>
                <w:szCs w:val="20"/>
                <w:b w:val="1"/>
                <w:bCs w:val="1"/>
                <w:color w:val="auto"/>
              </w:rPr>
              <w:t>(10</w:t>
            </w:r>
            <w:r>
              <w:rPr>
                <w:rFonts w:ascii="Arial" w:cs="Arial" w:eastAsia="Arial" w:hAnsi="Arial"/>
                <w:sz w:val="20"/>
                <w:szCs w:val="20"/>
                <w:b w:val="1"/>
                <w:bCs w:val="1"/>
                <w:color w:val="auto"/>
                <w:shd w:val="clear" w:color="auto" w:fill="E5E5E5"/>
              </w:rPr>
              <w:t>)</w:t>
            </w:r>
          </w:p>
        </w:tc>
      </w:tr>
      <w:tr>
        <w:trPr>
          <w:trHeight w:val="242"/>
        </w:trPr>
        <w:tc>
          <w:tcPr>
            <w:tcW w:w="2140" w:type="dxa"/>
            <w:vAlign w:val="bottom"/>
          </w:tcPr>
          <w:p>
            <w:pPr>
              <w:spacing w:after="0"/>
              <w:rPr>
                <w:sz w:val="20"/>
                <w:szCs w:val="20"/>
                <w:color w:val="auto"/>
              </w:rPr>
            </w:pPr>
            <w:r>
              <w:rPr>
                <w:rFonts w:ascii="Arial" w:cs="Arial" w:eastAsia="Arial" w:hAnsi="Arial"/>
                <w:sz w:val="20"/>
                <w:szCs w:val="20"/>
                <w:b w:val="1"/>
                <w:bCs w:val="1"/>
                <w:color w:val="auto"/>
                <w:w w:val="95"/>
              </w:rPr>
              <w:t>U.S. treasury securities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
              <w:spacing w:after="0"/>
              <w:rPr>
                <w:sz w:val="20"/>
                <w:szCs w:val="20"/>
                <w:color w:val="auto"/>
              </w:rPr>
            </w:pPr>
            <w:r>
              <w:rPr>
                <w:rFonts w:ascii="Arial" w:cs="Arial" w:eastAsia="Arial" w:hAnsi="Arial"/>
                <w:sz w:val="20"/>
                <w:szCs w:val="20"/>
                <w:b w:val="1"/>
                <w:bCs w:val="1"/>
                <w:color w:val="auto"/>
              </w:rPr>
              <w:t>10,382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ind w:left="700"/>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ind w:right="7"/>
              <w:spacing w:after="0"/>
              <w:rPr>
                <w:sz w:val="20"/>
                <w:szCs w:val="20"/>
                <w:color w:val="auto"/>
              </w:rPr>
            </w:pPr>
            <w:r>
              <w:rPr>
                <w:rFonts w:ascii="Arial" w:cs="Arial" w:eastAsia="Arial" w:hAnsi="Arial"/>
                <w:sz w:val="20"/>
                <w:szCs w:val="20"/>
                <w:b w:val="1"/>
                <w:bCs w:val="1"/>
                <w:color w:val="auto"/>
              </w:rPr>
              <w:t>3,982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
              <w:spacing w:after="0"/>
              <w:rPr>
                <w:sz w:val="20"/>
                <w:szCs w:val="20"/>
                <w:color w:val="auto"/>
              </w:rPr>
            </w:pPr>
            <w:r>
              <w:rPr>
                <w:rFonts w:ascii="Arial" w:cs="Arial" w:eastAsia="Arial" w:hAnsi="Arial"/>
                <w:sz w:val="20"/>
                <w:szCs w:val="20"/>
                <w:b w:val="1"/>
                <w:bCs w:val="1"/>
                <w:color w:val="auto"/>
              </w:rPr>
              <w:t>14,364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20"/>
                <w:szCs w:val="20"/>
                <w:b w:val="1"/>
                <w:bCs w:val="1"/>
                <w:color w:val="auto"/>
              </w:rPr>
              <w:t>—</w:t>
            </w:r>
          </w:p>
        </w:tc>
      </w:tr>
      <w:tr>
        <w:trPr>
          <w:trHeight w:val="245"/>
        </w:trPr>
        <w:tc>
          <w:tcPr>
            <w:tcW w:w="2140" w:type="dxa"/>
            <w:vAlign w:val="bottom"/>
          </w:tcPr>
          <w:p>
            <w:pPr>
              <w:spacing w:after="0"/>
              <w:rPr>
                <w:sz w:val="20"/>
                <w:szCs w:val="20"/>
                <w:color w:val="auto"/>
              </w:rPr>
            </w:pPr>
            <w:r>
              <w:rPr>
                <w:rFonts w:ascii="Arial" w:cs="Arial" w:eastAsia="Arial" w:hAnsi="Arial"/>
                <w:sz w:val="20"/>
                <w:szCs w:val="20"/>
                <w:b w:val="1"/>
                <w:bCs w:val="1"/>
                <w:color w:val="auto"/>
              </w:rPr>
              <w:t>Commercial paper</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
              <w:spacing w:after="0"/>
              <w:rPr>
                <w:sz w:val="20"/>
                <w:szCs w:val="20"/>
                <w:color w:val="auto"/>
              </w:rPr>
            </w:pPr>
            <w:r>
              <w:rPr>
                <w:rFonts w:ascii="Arial" w:cs="Arial" w:eastAsia="Arial" w:hAnsi="Arial"/>
                <w:sz w:val="20"/>
                <w:szCs w:val="20"/>
                <w:b w:val="1"/>
                <w:bCs w:val="1"/>
                <w:color w:val="auto"/>
              </w:rPr>
              <w:t>2,082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ind w:left="700"/>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ind w:right="7"/>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
              <w:spacing w:after="0"/>
              <w:rPr>
                <w:sz w:val="20"/>
                <w:szCs w:val="20"/>
                <w:color w:val="auto"/>
              </w:rPr>
            </w:pPr>
            <w:r>
              <w:rPr>
                <w:rFonts w:ascii="Arial" w:cs="Arial" w:eastAsia="Arial" w:hAnsi="Arial"/>
                <w:sz w:val="20"/>
                <w:szCs w:val="20"/>
                <w:b w:val="1"/>
                <w:bCs w:val="1"/>
                <w:color w:val="auto"/>
              </w:rPr>
              <w:t>2,082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20"/>
                <w:szCs w:val="20"/>
                <w:b w:val="1"/>
                <w:bCs w:val="1"/>
                <w:color w:val="auto"/>
              </w:rPr>
              <w:t>—</w:t>
            </w:r>
          </w:p>
        </w:tc>
      </w:tr>
      <w:tr>
        <w:trPr>
          <w:trHeight w:val="245"/>
        </w:trPr>
        <w:tc>
          <w:tcPr>
            <w:tcW w:w="2140" w:type="dxa"/>
            <w:vAlign w:val="bottom"/>
          </w:tcPr>
          <w:p>
            <w:pPr>
              <w:spacing w:after="0"/>
              <w:rPr>
                <w:sz w:val="20"/>
                <w:szCs w:val="20"/>
                <w:color w:val="auto"/>
              </w:rPr>
            </w:pPr>
            <w:r>
              <w:rPr>
                <w:rFonts w:ascii="Arial" w:cs="Arial" w:eastAsia="Arial" w:hAnsi="Arial"/>
                <w:sz w:val="20"/>
                <w:szCs w:val="20"/>
                <w:b w:val="1"/>
                <w:bCs w:val="1"/>
                <w:color w:val="auto"/>
                <w:w w:val="87"/>
              </w:rPr>
              <w:t>Corporate debt securities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
              <w:spacing w:after="0"/>
              <w:rPr>
                <w:sz w:val="20"/>
                <w:szCs w:val="20"/>
                <w:color w:val="auto"/>
              </w:rPr>
            </w:pPr>
            <w:r>
              <w:rPr>
                <w:rFonts w:ascii="Arial" w:cs="Arial" w:eastAsia="Arial" w:hAnsi="Arial"/>
                <w:sz w:val="20"/>
                <w:szCs w:val="20"/>
                <w:b w:val="1"/>
                <w:bCs w:val="1"/>
                <w:color w:val="auto"/>
              </w:rPr>
              <w:t>14,710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ind w:left="700"/>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ind w:right="7"/>
              <w:spacing w:after="0"/>
              <w:rPr>
                <w:sz w:val="20"/>
                <w:szCs w:val="20"/>
                <w:color w:val="auto"/>
              </w:rPr>
            </w:pPr>
            <w:r>
              <w:rPr>
                <w:rFonts w:ascii="Arial" w:cs="Arial" w:eastAsia="Arial" w:hAnsi="Arial"/>
                <w:sz w:val="20"/>
                <w:szCs w:val="20"/>
                <w:b w:val="1"/>
                <w:bCs w:val="1"/>
                <w:color w:val="auto"/>
              </w:rPr>
              <w:t>11,808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
              <w:spacing w:after="0"/>
              <w:rPr>
                <w:sz w:val="20"/>
                <w:szCs w:val="20"/>
                <w:color w:val="auto"/>
              </w:rPr>
            </w:pPr>
            <w:r>
              <w:rPr>
                <w:rFonts w:ascii="Arial" w:cs="Arial" w:eastAsia="Arial" w:hAnsi="Arial"/>
                <w:sz w:val="20"/>
                <w:szCs w:val="20"/>
                <w:b w:val="1"/>
                <w:bCs w:val="1"/>
                <w:color w:val="auto"/>
              </w:rPr>
              <w:t>26,518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Arial" w:cs="Arial" w:eastAsia="Arial" w:hAnsi="Arial"/>
                <w:sz w:val="20"/>
                <w:szCs w:val="20"/>
                <w:b w:val="1"/>
                <w:bCs w:val="1"/>
                <w:color w:val="auto"/>
              </w:rPr>
              <w:t>(6)</w:t>
            </w:r>
          </w:p>
        </w:tc>
      </w:tr>
      <w:tr>
        <w:trPr>
          <w:trHeight w:val="20"/>
        </w:trPr>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9"/>
        </w:trPr>
        <w:tc>
          <w:tcPr>
            <w:tcW w:w="214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380" w:type="dxa"/>
            <w:vAlign w:val="bottom"/>
            <w:gridSpan w:val="3"/>
          </w:tcPr>
          <w:p>
            <w:pPr>
              <w:jc w:val="right"/>
              <w:ind w:right="140"/>
              <w:spacing w:after="0"/>
              <w:rPr>
                <w:sz w:val="20"/>
                <w:szCs w:val="20"/>
                <w:color w:val="auto"/>
              </w:rPr>
            </w:pPr>
            <w:r>
              <w:rPr>
                <w:rFonts w:ascii="Arial" w:cs="Arial" w:eastAsia="Arial" w:hAnsi="Arial"/>
                <w:sz w:val="20"/>
                <w:szCs w:val="20"/>
                <w:b w:val="1"/>
                <w:bCs w:val="1"/>
                <w:color w:val="auto"/>
              </w:rPr>
              <w:t>$</w:t>
            </w:r>
          </w:p>
        </w:tc>
        <w:tc>
          <w:tcPr>
            <w:tcW w:w="1340" w:type="dxa"/>
            <w:vAlign w:val="bottom"/>
          </w:tcPr>
          <w:p>
            <w:pPr>
              <w:jc w:val="right"/>
              <w:ind w:right="7"/>
              <w:spacing w:after="0"/>
              <w:rPr>
                <w:sz w:val="20"/>
                <w:szCs w:val="20"/>
                <w:color w:val="auto"/>
              </w:rPr>
            </w:pPr>
            <w:r>
              <w:rPr>
                <w:rFonts w:ascii="Arial" w:cs="Arial" w:eastAsia="Arial" w:hAnsi="Arial"/>
                <w:sz w:val="20"/>
                <w:szCs w:val="20"/>
                <w:b w:val="1"/>
                <w:bCs w:val="1"/>
                <w:color w:val="auto"/>
              </w:rPr>
              <w:t>29,174</w:t>
            </w:r>
          </w:p>
        </w:tc>
        <w:tc>
          <w:tcPr>
            <w:tcW w:w="240" w:type="dxa"/>
            <w:vAlign w:val="bottom"/>
            <w:gridSpan w:val="3"/>
          </w:tcPr>
          <w:p>
            <w:pPr>
              <w:jc w:val="right"/>
              <w:ind w:right="2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ind w:left="680"/>
              <w:spacing w:after="0"/>
              <w:rPr>
                <w:sz w:val="20"/>
                <w:szCs w:val="20"/>
                <w:color w:val="auto"/>
              </w:rPr>
            </w:pPr>
            <w:r>
              <w:rPr>
                <w:rFonts w:ascii="Arial" w:cs="Arial" w:eastAsia="Arial" w:hAnsi="Arial"/>
                <w:sz w:val="20"/>
                <w:szCs w:val="20"/>
                <w:b w:val="1"/>
                <w:bCs w:val="1"/>
                <w:color w:val="auto"/>
              </w:rPr>
              <w:t>—</w:t>
            </w:r>
          </w:p>
        </w:tc>
        <w:tc>
          <w:tcPr>
            <w:tcW w:w="240" w:type="dxa"/>
            <w:vAlign w:val="bottom"/>
            <w:gridSpan w:val="3"/>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ind w:right="7"/>
              <w:spacing w:after="0"/>
              <w:rPr>
                <w:sz w:val="20"/>
                <w:szCs w:val="20"/>
                <w:color w:val="auto"/>
              </w:rPr>
            </w:pPr>
            <w:r>
              <w:rPr>
                <w:rFonts w:ascii="Arial" w:cs="Arial" w:eastAsia="Arial" w:hAnsi="Arial"/>
                <w:sz w:val="20"/>
                <w:szCs w:val="20"/>
                <w:b w:val="1"/>
                <w:bCs w:val="1"/>
                <w:color w:val="auto"/>
              </w:rPr>
              <w:t>33,824</w:t>
            </w:r>
          </w:p>
        </w:tc>
        <w:tc>
          <w:tcPr>
            <w:tcW w:w="240" w:type="dxa"/>
            <w:vAlign w:val="bottom"/>
            <w:gridSpan w:val="3"/>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(16</w:t>
            </w:r>
            <w:r>
              <w:rPr>
                <w:rFonts w:ascii="Arial" w:cs="Arial" w:eastAsia="Arial" w:hAnsi="Arial"/>
                <w:sz w:val="20"/>
                <w:szCs w:val="20"/>
                <w:b w:val="1"/>
                <w:bCs w:val="1"/>
                <w:color w:val="auto"/>
                <w:shd w:val="clear" w:color="auto" w:fill="E5E5E5"/>
              </w:rPr>
              <w:t>)</w:t>
            </w:r>
          </w:p>
        </w:tc>
        <w:tc>
          <w:tcPr>
            <w:tcW w:w="20" w:type="dxa"/>
            <w:vAlign w:val="bottom"/>
          </w:tcPr>
          <w:p>
            <w:pPr>
              <w:spacing w:after="0"/>
              <w:rPr>
                <w:sz w:val="20"/>
                <w:szCs w:val="20"/>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ind w:right="3"/>
              <w:spacing w:after="0"/>
              <w:rPr>
                <w:sz w:val="20"/>
                <w:szCs w:val="20"/>
                <w:color w:val="auto"/>
              </w:rPr>
            </w:pPr>
            <w:r>
              <w:rPr>
                <w:rFonts w:ascii="Arial" w:cs="Arial" w:eastAsia="Arial" w:hAnsi="Arial"/>
                <w:sz w:val="20"/>
                <w:szCs w:val="20"/>
                <w:b w:val="1"/>
                <w:bCs w:val="1"/>
                <w:color w:val="auto"/>
              </w:rPr>
              <w:t>62,998</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780" w:type="dxa"/>
            <w:vAlign w:val="bottom"/>
            <w:gridSpan w:val="4"/>
          </w:tcPr>
          <w:p>
            <w:pPr>
              <w:jc w:val="right"/>
              <w:spacing w:after="0"/>
              <w:rPr>
                <w:sz w:val="20"/>
                <w:szCs w:val="20"/>
                <w:color w:val="auto"/>
              </w:rPr>
            </w:pPr>
            <w:r>
              <w:rPr>
                <w:rFonts w:ascii="Arial" w:cs="Arial" w:eastAsia="Arial" w:hAnsi="Arial"/>
                <w:sz w:val="20"/>
                <w:szCs w:val="20"/>
                <w:b w:val="1"/>
                <w:bCs w:val="1"/>
                <w:color w:val="auto"/>
              </w:rPr>
              <w:t>(16</w:t>
            </w:r>
            <w:r>
              <w:rPr>
                <w:rFonts w:ascii="Arial" w:cs="Arial" w:eastAsia="Arial" w:hAnsi="Arial"/>
                <w:sz w:val="20"/>
                <w:szCs w:val="20"/>
                <w:b w:val="1"/>
                <w:bCs w:val="1"/>
                <w:color w:val="auto"/>
                <w:shd w:val="clear" w:color="auto" w:fill="E5E5E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-3053080</wp:posOffset>
            </wp:positionV>
            <wp:extent cx="6189980" cy="56807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189980" cy="5680710"/>
                    </a:xfrm>
                    <a:prstGeom prst="rect">
                      <a:avLst/>
                    </a:prstGeom>
                    <a:noFill/>
                  </pic:spPr>
                </pic:pic>
              </a:graphicData>
            </a:graphic>
          </wp:anchor>
        </w:drawing>
      </w:r>
    </w:p>
    <w:p>
      <w:pPr>
        <w:spacing w:after="0" w:line="274" w:lineRule="exact"/>
        <w:rPr>
          <w:sz w:val="20"/>
          <w:szCs w:val="20"/>
          <w:color w:val="auto"/>
        </w:rPr>
      </w:pPr>
    </w:p>
    <w:p>
      <w:pPr>
        <w:ind w:right="20"/>
        <w:spacing w:after="0" w:line="297" w:lineRule="auto"/>
        <w:rPr>
          <w:sz w:val="20"/>
          <w:szCs w:val="20"/>
          <w:color w:val="auto"/>
        </w:rPr>
      </w:pPr>
      <w:r>
        <w:rPr>
          <w:rFonts w:ascii="Arial" w:cs="Arial" w:eastAsia="Arial" w:hAnsi="Arial"/>
          <w:sz w:val="17"/>
          <w:szCs w:val="17"/>
          <w:b w:val="1"/>
          <w:bCs w:val="1"/>
          <w:color w:val="auto"/>
        </w:rPr>
        <w:t>Accrued interest receivable on available-for-sale securities were $0.1 million and $0.3 million at December 31, 2025 and 2024, respectively, which are recorded in cash and cash equivalents line item on the Company's balance sheets. The Company has not written off any accrued interest receivables for the years ended December 31, 2025 and 2024.</w:t>
      </w:r>
    </w:p>
    <w:p>
      <w:pPr>
        <w:spacing w:after="0" w:line="205" w:lineRule="exact"/>
        <w:rPr>
          <w:sz w:val="20"/>
          <w:szCs w:val="20"/>
          <w:color w:val="auto"/>
        </w:rPr>
      </w:pPr>
    </w:p>
    <w:p>
      <w:pPr>
        <w:ind w:right="760"/>
        <w:spacing w:after="0" w:line="233" w:lineRule="auto"/>
        <w:rPr>
          <w:sz w:val="20"/>
          <w:szCs w:val="20"/>
          <w:color w:val="auto"/>
        </w:rPr>
      </w:pPr>
      <w:r>
        <w:rPr>
          <w:rFonts w:ascii="Arial" w:cs="Arial" w:eastAsia="Arial" w:hAnsi="Arial"/>
          <w:sz w:val="20"/>
          <w:szCs w:val="20"/>
          <w:b w:val="1"/>
          <w:bCs w:val="1"/>
          <w:color w:val="auto"/>
        </w:rPr>
        <w:t>At December 31, 2025 and 2024, the fair values of the Company’s assets, which are measured at fair value on a recurring basis, were determined using the following inputs (in thousands):</w:t>
      </w:r>
    </w:p>
    <w:p>
      <w:pPr>
        <w:spacing w:after="0" w:line="293"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December 31, 2025</w:t>
            </w: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93"/>
        </w:trPr>
        <w:tc>
          <w:tcPr>
            <w:tcW w:w="266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w w:val="95"/>
              </w:rPr>
              <w:t>(Level 2)</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(Level 3)</w:t>
            </w:r>
          </w:p>
        </w:tc>
      </w:tr>
      <w:tr>
        <w:trPr>
          <w:trHeight w:val="239"/>
        </w:trPr>
        <w:tc>
          <w:tcPr>
            <w:tcW w:w="2660" w:type="dxa"/>
            <w:vAlign w:val="bottom"/>
          </w:tcPr>
          <w:p>
            <w:pPr>
              <w:spacing w:after="0"/>
              <w:rPr>
                <w:sz w:val="20"/>
                <w:szCs w:val="20"/>
                <w:color w:val="auto"/>
              </w:rPr>
            </w:pPr>
            <w:r>
              <w:rPr>
                <w:rFonts w:ascii="Arial" w:cs="Arial" w:eastAsia="Arial" w:hAnsi="Arial"/>
                <w:sz w:val="20"/>
                <w:szCs w:val="20"/>
                <w:b w:val="1"/>
                <w:bCs w:val="1"/>
                <w:color w:val="auto"/>
              </w:rPr>
              <w:t>Money market funds</w:t>
            </w:r>
          </w:p>
        </w:tc>
        <w:tc>
          <w:tcPr>
            <w:tcW w:w="1120" w:type="dxa"/>
            <w:vAlign w:val="bottom"/>
          </w:tcPr>
          <w:p>
            <w:pPr>
              <w:jc w:val="right"/>
              <w:ind w:right="927"/>
              <w:spacing w:after="0"/>
              <w:rPr>
                <w:sz w:val="20"/>
                <w:szCs w:val="20"/>
                <w:color w:val="auto"/>
              </w:rPr>
            </w:pPr>
            <w:r>
              <w:rPr>
                <w:rFonts w:ascii="Arial" w:cs="Arial" w:eastAsia="Arial" w:hAnsi="Arial"/>
                <w:sz w:val="20"/>
                <w:szCs w:val="2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7,755</w:t>
            </w:r>
          </w:p>
        </w:tc>
        <w:tc>
          <w:tcPr>
            <w:tcW w:w="34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5"/>
              <w:spacing w:after="0"/>
              <w:rPr>
                <w:sz w:val="20"/>
                <w:szCs w:val="20"/>
                <w:color w:val="auto"/>
              </w:rPr>
            </w:pPr>
            <w:r>
              <w:rPr>
                <w:rFonts w:ascii="Arial" w:cs="Arial" w:eastAsia="Arial" w:hAnsi="Arial"/>
                <w:sz w:val="20"/>
                <w:szCs w:val="20"/>
                <w:b w:val="1"/>
                <w:bCs w:val="1"/>
                <w:color w:val="auto"/>
              </w:rPr>
              <w:t>7,755</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1020" w:type="dxa"/>
            <w:vAlign w:val="bottom"/>
          </w:tcPr>
          <w:p>
            <w:pPr>
              <w:jc w:val="right"/>
              <w:ind w:right="3"/>
              <w:spacing w:after="0"/>
              <w:rPr>
                <w:sz w:val="20"/>
                <w:szCs w:val="20"/>
                <w:color w:val="auto"/>
              </w:rPr>
            </w:pPr>
            <w:r>
              <w:rPr>
                <w:rFonts w:ascii="Arial" w:cs="Arial" w:eastAsia="Arial" w:hAnsi="Arial"/>
                <w:sz w:val="20"/>
                <w:szCs w:val="20"/>
                <w:b w:val="1"/>
                <w:bCs w:val="1"/>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ind w:left="780"/>
              <w:spacing w:after="0"/>
              <w:rPr>
                <w:sz w:val="20"/>
                <w:szCs w:val="20"/>
                <w:color w:val="auto"/>
              </w:rPr>
            </w:pPr>
            <w:r>
              <w:rPr>
                <w:rFonts w:ascii="Arial" w:cs="Arial" w:eastAsia="Arial" w:hAnsi="Arial"/>
                <w:sz w:val="20"/>
                <w:szCs w:val="20"/>
                <w:b w:val="1"/>
                <w:bCs w:val="1"/>
                <w:color w:val="auto"/>
                <w:w w:val="99"/>
              </w:rPr>
              <w:t>—</w:t>
            </w:r>
          </w:p>
        </w:tc>
      </w:tr>
      <w:tr>
        <w:trPr>
          <w:trHeight w:val="242"/>
        </w:trPr>
        <w:tc>
          <w:tcPr>
            <w:tcW w:w="2660" w:type="dxa"/>
            <w:vAlign w:val="bottom"/>
          </w:tcPr>
          <w:p>
            <w:pPr>
              <w:spacing w:after="0"/>
              <w:rPr>
                <w:sz w:val="20"/>
                <w:szCs w:val="20"/>
                <w:color w:val="auto"/>
              </w:rPr>
            </w:pPr>
            <w:r>
              <w:rPr>
                <w:rFonts w:ascii="Arial" w:cs="Arial" w:eastAsia="Arial" w:hAnsi="Arial"/>
                <w:sz w:val="20"/>
                <w:szCs w:val="20"/>
                <w:b w:val="1"/>
                <w:bCs w:val="1"/>
                <w:color w:val="auto"/>
              </w:rPr>
              <w:t>Asset-backed securities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5,340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
              <w:spacing w:after="0"/>
              <w:rPr>
                <w:sz w:val="20"/>
                <w:szCs w:val="20"/>
                <w:color w:val="auto"/>
              </w:rPr>
            </w:pPr>
            <w:r>
              <w:rPr>
                <w:rFonts w:ascii="Arial" w:cs="Arial" w:eastAsia="Arial" w:hAnsi="Arial"/>
                <w:sz w:val="20"/>
                <w:szCs w:val="20"/>
                <w:b w:val="1"/>
                <w:bCs w:val="1"/>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3"/>
              <w:spacing w:after="0"/>
              <w:rPr>
                <w:sz w:val="20"/>
                <w:szCs w:val="20"/>
                <w:color w:val="auto"/>
              </w:rPr>
            </w:pPr>
            <w:r>
              <w:rPr>
                <w:rFonts w:ascii="Arial" w:cs="Arial" w:eastAsia="Arial" w:hAnsi="Arial"/>
                <w:sz w:val="20"/>
                <w:szCs w:val="20"/>
                <w:b w:val="1"/>
                <w:bCs w:val="1"/>
                <w:color w:val="auto"/>
              </w:rPr>
              <w:t>5,340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ind w:left="780"/>
              <w:spacing w:after="0"/>
              <w:rPr>
                <w:sz w:val="20"/>
                <w:szCs w:val="20"/>
                <w:color w:val="auto"/>
              </w:rPr>
            </w:pPr>
            <w:r>
              <w:rPr>
                <w:rFonts w:ascii="Arial" w:cs="Arial" w:eastAsia="Arial" w:hAnsi="Arial"/>
                <w:sz w:val="20"/>
                <w:szCs w:val="20"/>
                <w:b w:val="1"/>
                <w:bCs w:val="1"/>
                <w:color w:val="auto"/>
                <w:w w:val="99"/>
              </w:rPr>
              <w:t>—</w:t>
            </w:r>
          </w:p>
        </w:tc>
      </w:tr>
      <w:tr>
        <w:trPr>
          <w:trHeight w:val="245"/>
        </w:trPr>
        <w:tc>
          <w:tcPr>
            <w:tcW w:w="2660" w:type="dxa"/>
            <w:vAlign w:val="bottom"/>
          </w:tcPr>
          <w:p>
            <w:pPr>
              <w:spacing w:after="0"/>
              <w:rPr>
                <w:sz w:val="20"/>
                <w:szCs w:val="20"/>
                <w:color w:val="auto"/>
              </w:rPr>
            </w:pPr>
            <w:r>
              <w:rPr>
                <w:rFonts w:ascii="Arial" w:cs="Arial" w:eastAsia="Arial" w:hAnsi="Arial"/>
                <w:sz w:val="20"/>
                <w:szCs w:val="20"/>
                <w:b w:val="1"/>
                <w:bCs w:val="1"/>
                <w:color w:val="auto"/>
              </w:rPr>
              <w:t>U.S. treasury securities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992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
              <w:spacing w:after="0"/>
              <w:rPr>
                <w:sz w:val="20"/>
                <w:szCs w:val="20"/>
                <w:color w:val="auto"/>
              </w:rPr>
            </w:pPr>
            <w:r>
              <w:rPr>
                <w:rFonts w:ascii="Arial" w:cs="Arial" w:eastAsia="Arial" w:hAnsi="Arial"/>
                <w:sz w:val="20"/>
                <w:szCs w:val="20"/>
                <w:b w:val="1"/>
                <w:bCs w:val="1"/>
                <w:color w:val="auto"/>
              </w:rPr>
              <w:t>992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3"/>
              <w:spacing w:after="0"/>
              <w:rPr>
                <w:sz w:val="20"/>
                <w:szCs w:val="20"/>
                <w:color w:val="auto"/>
              </w:rPr>
            </w:pPr>
            <w:r>
              <w:rPr>
                <w:rFonts w:ascii="Arial" w:cs="Arial" w:eastAsia="Arial" w:hAnsi="Arial"/>
                <w:sz w:val="20"/>
                <w:szCs w:val="20"/>
                <w:b w:val="1"/>
                <w:bCs w:val="1"/>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ind w:left="780"/>
              <w:spacing w:after="0"/>
              <w:rPr>
                <w:sz w:val="20"/>
                <w:szCs w:val="20"/>
                <w:color w:val="auto"/>
              </w:rPr>
            </w:pPr>
            <w:r>
              <w:rPr>
                <w:rFonts w:ascii="Arial" w:cs="Arial" w:eastAsia="Arial" w:hAnsi="Arial"/>
                <w:sz w:val="20"/>
                <w:szCs w:val="20"/>
                <w:b w:val="1"/>
                <w:bCs w:val="1"/>
                <w:color w:val="auto"/>
                <w:w w:val="99"/>
              </w:rPr>
              <w:t>—</w:t>
            </w:r>
          </w:p>
        </w:tc>
      </w:tr>
      <w:tr>
        <w:trPr>
          <w:trHeight w:val="245"/>
        </w:trPr>
        <w:tc>
          <w:tcPr>
            <w:tcW w:w="2660" w:type="dxa"/>
            <w:vAlign w:val="bottom"/>
          </w:tcPr>
          <w:p>
            <w:pPr>
              <w:spacing w:after="0"/>
              <w:rPr>
                <w:sz w:val="20"/>
                <w:szCs w:val="20"/>
                <w:color w:val="auto"/>
              </w:rPr>
            </w:pPr>
            <w:r>
              <w:rPr>
                <w:rFonts w:ascii="Arial" w:cs="Arial" w:eastAsia="Arial" w:hAnsi="Arial"/>
                <w:sz w:val="20"/>
                <w:szCs w:val="20"/>
                <w:b w:val="1"/>
                <w:bCs w:val="1"/>
                <w:color w:val="auto"/>
              </w:rPr>
              <w:t>Other agency securities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995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
              <w:spacing w:after="0"/>
              <w:rPr>
                <w:sz w:val="20"/>
                <w:szCs w:val="20"/>
                <w:color w:val="auto"/>
              </w:rPr>
            </w:pPr>
            <w:r>
              <w:rPr>
                <w:rFonts w:ascii="Arial" w:cs="Arial" w:eastAsia="Arial" w:hAnsi="Arial"/>
                <w:sz w:val="20"/>
                <w:szCs w:val="20"/>
                <w:b w:val="1"/>
                <w:bCs w:val="1"/>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3"/>
              <w:spacing w:after="0"/>
              <w:rPr>
                <w:sz w:val="20"/>
                <w:szCs w:val="20"/>
                <w:color w:val="auto"/>
              </w:rPr>
            </w:pPr>
            <w:r>
              <w:rPr>
                <w:rFonts w:ascii="Arial" w:cs="Arial" w:eastAsia="Arial" w:hAnsi="Arial"/>
                <w:sz w:val="20"/>
                <w:szCs w:val="20"/>
                <w:b w:val="1"/>
                <w:bCs w:val="1"/>
                <w:color w:val="auto"/>
              </w:rPr>
              <w:t>995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ind w:left="780"/>
              <w:spacing w:after="0"/>
              <w:rPr>
                <w:sz w:val="20"/>
                <w:szCs w:val="20"/>
                <w:color w:val="auto"/>
              </w:rPr>
            </w:pPr>
            <w:r>
              <w:rPr>
                <w:rFonts w:ascii="Arial" w:cs="Arial" w:eastAsia="Arial" w:hAnsi="Arial"/>
                <w:sz w:val="20"/>
                <w:szCs w:val="20"/>
                <w:b w:val="1"/>
                <w:bCs w:val="1"/>
                <w:color w:val="auto"/>
                <w:w w:val="99"/>
              </w:rPr>
              <w:t>—</w:t>
            </w:r>
          </w:p>
        </w:tc>
      </w:tr>
      <w:tr>
        <w:trPr>
          <w:trHeight w:val="242"/>
        </w:trPr>
        <w:tc>
          <w:tcPr>
            <w:tcW w:w="2660" w:type="dxa"/>
            <w:vAlign w:val="bottom"/>
          </w:tcPr>
          <w:p>
            <w:pPr>
              <w:spacing w:after="0"/>
              <w:rPr>
                <w:sz w:val="20"/>
                <w:szCs w:val="20"/>
                <w:color w:val="auto"/>
              </w:rPr>
            </w:pPr>
            <w:r>
              <w:rPr>
                <w:rFonts w:ascii="Arial" w:cs="Arial" w:eastAsia="Arial" w:hAnsi="Arial"/>
                <w:sz w:val="20"/>
                <w:szCs w:val="20"/>
                <w:b w:val="1"/>
                <w:bCs w:val="1"/>
                <w:color w:val="auto"/>
              </w:rPr>
              <w:t>Commercial paper</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7,683</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
              <w:spacing w:after="0"/>
              <w:rPr>
                <w:sz w:val="20"/>
                <w:szCs w:val="20"/>
                <w:color w:val="auto"/>
              </w:rPr>
            </w:pPr>
            <w:r>
              <w:rPr>
                <w:rFonts w:ascii="Arial" w:cs="Arial" w:eastAsia="Arial" w:hAnsi="Arial"/>
                <w:sz w:val="20"/>
                <w:szCs w:val="20"/>
                <w:b w:val="1"/>
                <w:bCs w:val="1"/>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3"/>
              <w:spacing w:after="0"/>
              <w:rPr>
                <w:sz w:val="20"/>
                <w:szCs w:val="20"/>
                <w:color w:val="auto"/>
              </w:rPr>
            </w:pPr>
            <w:r>
              <w:rPr>
                <w:rFonts w:ascii="Arial" w:cs="Arial" w:eastAsia="Arial" w:hAnsi="Arial"/>
                <w:sz w:val="20"/>
                <w:szCs w:val="20"/>
                <w:b w:val="1"/>
                <w:bCs w:val="1"/>
                <w:color w:val="auto"/>
              </w:rPr>
              <w:t>7,683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ind w:left="780"/>
              <w:spacing w:after="0"/>
              <w:rPr>
                <w:sz w:val="20"/>
                <w:szCs w:val="20"/>
                <w:color w:val="auto"/>
              </w:rPr>
            </w:pPr>
            <w:r>
              <w:rPr>
                <w:rFonts w:ascii="Arial" w:cs="Arial" w:eastAsia="Arial" w:hAnsi="Arial"/>
                <w:sz w:val="20"/>
                <w:szCs w:val="20"/>
                <w:b w:val="1"/>
                <w:bCs w:val="1"/>
                <w:color w:val="auto"/>
                <w:w w:val="99"/>
              </w:rPr>
              <w:t>—</w:t>
            </w:r>
          </w:p>
        </w:tc>
      </w:tr>
      <w:tr>
        <w:trPr>
          <w:trHeight w:val="245"/>
        </w:trPr>
        <w:tc>
          <w:tcPr>
            <w:tcW w:w="2660" w:type="dxa"/>
            <w:vAlign w:val="bottom"/>
          </w:tcPr>
          <w:p>
            <w:pPr>
              <w:spacing w:after="0"/>
              <w:rPr>
                <w:sz w:val="20"/>
                <w:szCs w:val="20"/>
                <w:color w:val="auto"/>
              </w:rPr>
            </w:pPr>
            <w:r>
              <w:rPr>
                <w:rFonts w:ascii="Arial" w:cs="Arial" w:eastAsia="Arial" w:hAnsi="Arial"/>
                <w:sz w:val="20"/>
                <w:szCs w:val="20"/>
                <w:b w:val="1"/>
                <w:bCs w:val="1"/>
                <w:color w:val="auto"/>
              </w:rPr>
              <w:t>Corporate debt securities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5,129</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
              <w:spacing w:after="0"/>
              <w:rPr>
                <w:sz w:val="20"/>
                <w:szCs w:val="20"/>
                <w:color w:val="auto"/>
              </w:rPr>
            </w:pPr>
            <w:r>
              <w:rPr>
                <w:rFonts w:ascii="Arial" w:cs="Arial" w:eastAsia="Arial" w:hAnsi="Arial"/>
                <w:sz w:val="20"/>
                <w:szCs w:val="20"/>
                <w:b w:val="1"/>
                <w:bCs w:val="1"/>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3"/>
              <w:spacing w:after="0"/>
              <w:rPr>
                <w:sz w:val="20"/>
                <w:szCs w:val="20"/>
                <w:color w:val="auto"/>
              </w:rPr>
            </w:pPr>
            <w:r>
              <w:rPr>
                <w:rFonts w:ascii="Arial" w:cs="Arial" w:eastAsia="Arial" w:hAnsi="Arial"/>
                <w:sz w:val="20"/>
                <w:szCs w:val="20"/>
                <w:b w:val="1"/>
                <w:bCs w:val="1"/>
                <w:color w:val="auto"/>
              </w:rPr>
              <w:t>5,129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ind w:left="780"/>
              <w:spacing w:after="0"/>
              <w:rPr>
                <w:sz w:val="20"/>
                <w:szCs w:val="20"/>
                <w:color w:val="auto"/>
              </w:rPr>
            </w:pPr>
            <w:r>
              <w:rPr>
                <w:rFonts w:ascii="Arial" w:cs="Arial" w:eastAsia="Arial" w:hAnsi="Arial"/>
                <w:sz w:val="20"/>
                <w:szCs w:val="20"/>
                <w:b w:val="1"/>
                <w:bCs w:val="1"/>
                <w:color w:val="auto"/>
                <w:w w:val="99"/>
              </w:rPr>
              <w:t>—</w:t>
            </w:r>
          </w:p>
        </w:tc>
      </w:tr>
      <w:tr>
        <w:trPr>
          <w:trHeight w:val="259"/>
        </w:trPr>
        <w:tc>
          <w:tcPr>
            <w:tcW w:w="266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1120" w:type="dxa"/>
            <w:vAlign w:val="bottom"/>
          </w:tcPr>
          <w:p>
            <w:pPr>
              <w:jc w:val="right"/>
              <w:ind w:right="927"/>
              <w:spacing w:after="0"/>
              <w:rPr>
                <w:sz w:val="20"/>
                <w:szCs w:val="20"/>
                <w:color w:val="auto"/>
              </w:rPr>
            </w:pPr>
            <w:r>
              <w:rPr>
                <w:rFonts w:ascii="Arial" w:cs="Arial" w:eastAsia="Arial" w:hAnsi="Arial"/>
                <w:sz w:val="20"/>
                <w:szCs w:val="2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w w:val="98"/>
              </w:rPr>
              <w:t>27,894</w:t>
            </w:r>
          </w:p>
        </w:tc>
        <w:tc>
          <w:tcPr>
            <w:tcW w:w="34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5"/>
              <w:spacing w:after="0"/>
              <w:rPr>
                <w:sz w:val="20"/>
                <w:szCs w:val="20"/>
                <w:color w:val="auto"/>
              </w:rPr>
            </w:pPr>
            <w:r>
              <w:rPr>
                <w:rFonts w:ascii="Arial" w:cs="Arial" w:eastAsia="Arial" w:hAnsi="Arial"/>
                <w:sz w:val="20"/>
                <w:szCs w:val="20"/>
                <w:b w:val="1"/>
                <w:bCs w:val="1"/>
                <w:color w:val="auto"/>
              </w:rPr>
              <w:t>8,747</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1020" w:type="dxa"/>
            <w:vAlign w:val="bottom"/>
          </w:tcPr>
          <w:p>
            <w:pPr>
              <w:jc w:val="right"/>
              <w:ind w:right="3"/>
              <w:spacing w:after="0"/>
              <w:rPr>
                <w:sz w:val="20"/>
                <w:szCs w:val="20"/>
                <w:color w:val="auto"/>
              </w:rPr>
            </w:pPr>
            <w:r>
              <w:rPr>
                <w:rFonts w:ascii="Arial" w:cs="Arial" w:eastAsia="Arial" w:hAnsi="Arial"/>
                <w:sz w:val="20"/>
                <w:szCs w:val="20"/>
                <w:b w:val="1"/>
                <w:bCs w:val="1"/>
                <w:color w:val="auto"/>
              </w:rPr>
              <w:t>19,147</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ind w:left="780"/>
              <w:spacing w:after="0"/>
              <w:rPr>
                <w:sz w:val="20"/>
                <w:szCs w:val="20"/>
                <w:color w:val="auto"/>
              </w:rPr>
            </w:pPr>
            <w:r>
              <w:rPr>
                <w:rFonts w:ascii="Arial" w:cs="Arial" w:eastAsia="Arial" w:hAnsi="Arial"/>
                <w:sz w:val="20"/>
                <w:szCs w:val="20"/>
                <w:b w:val="1"/>
                <w:bCs w:val="1"/>
                <w:color w:val="auto"/>
                <w:w w:val="99"/>
              </w:rPr>
              <w:t>—</w:t>
            </w:r>
          </w:p>
        </w:tc>
      </w:tr>
    </w:tbl>
    <w:p>
      <w:pPr>
        <w:spacing w:after="0" w:line="200" w:lineRule="exact"/>
        <w:rPr>
          <w:sz w:val="20"/>
          <w:szCs w:val="20"/>
          <w:color w:val="auto"/>
        </w:rPr>
      </w:pPr>
    </w:p>
    <w:p>
      <w:pPr>
        <w:sectPr>
          <w:pgSz w:w="12240" w:h="15840" w:orient="portrait"/>
          <w:cols w:equalWidth="0" w:num="1">
            <w:col w:w="9700"/>
          </w:cols>
          <w:pgMar w:left="1260" w:top="1320"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93</w:t>
      </w:r>
    </w:p>
    <w:p>
      <w:pPr>
        <w:sectPr>
          <w:pgSz w:w="12240" w:h="15840" w:orient="portrait"/>
          <w:cols w:equalWidth="0" w:num="1">
            <w:col w:w="9700"/>
          </w:cols>
          <w:pgMar w:left="1260" w:top="1320" w:right="1280" w:bottom="181" w:gutter="0" w:footer="0" w:header="0"/>
          <w:type w:val="continuous"/>
        </w:sectPr>
      </w:pPr>
    </w:p>
    <w:bookmarkStart w:id="133" w:name="page134"/>
    <w:bookmarkEnd w:id="133"/>
    <w:tbl>
      <w:tblPr>
        <w:tblLayout w:type="fixed"/>
        <w:tblInd w:w="48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December 31, 2024</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3"/>
        </w:trPr>
        <w:tc>
          <w:tcPr>
            <w:tcW w:w="26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w w:val="95"/>
              </w:rPr>
              <w:t>(Level 2)</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(Level 3)</w:t>
            </w:r>
          </w:p>
        </w:tc>
      </w:tr>
      <w:tr>
        <w:trPr>
          <w:trHeight w:val="238"/>
        </w:trPr>
        <w:tc>
          <w:tcPr>
            <w:tcW w:w="2660" w:type="dxa"/>
            <w:vAlign w:val="bottom"/>
          </w:tcPr>
          <w:p>
            <w:pPr>
              <w:spacing w:after="0"/>
              <w:rPr>
                <w:sz w:val="20"/>
                <w:szCs w:val="20"/>
                <w:color w:val="auto"/>
              </w:rPr>
            </w:pPr>
            <w:r>
              <w:rPr>
                <w:rFonts w:ascii="Arial" w:cs="Arial" w:eastAsia="Arial" w:hAnsi="Arial"/>
                <w:sz w:val="20"/>
                <w:szCs w:val="20"/>
                <w:b w:val="1"/>
                <w:bCs w:val="1"/>
                <w:color w:val="auto"/>
              </w:rPr>
              <w:t>Money market funds</w:t>
            </w:r>
          </w:p>
        </w:tc>
        <w:tc>
          <w:tcPr>
            <w:tcW w:w="1120" w:type="dxa"/>
            <w:vAlign w:val="bottom"/>
          </w:tcPr>
          <w:p>
            <w:pPr>
              <w:jc w:val="right"/>
              <w:ind w:right="927"/>
              <w:spacing w:after="0"/>
              <w:rPr>
                <w:sz w:val="20"/>
                <w:szCs w:val="20"/>
                <w:color w:val="auto"/>
              </w:rPr>
            </w:pPr>
            <w:r>
              <w:rPr>
                <w:rFonts w:ascii="Arial" w:cs="Arial" w:eastAsia="Arial" w:hAnsi="Arial"/>
                <w:sz w:val="20"/>
                <w:szCs w:val="2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5,620</w:t>
            </w:r>
          </w:p>
        </w:tc>
        <w:tc>
          <w:tcPr>
            <w:tcW w:w="34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5"/>
              <w:spacing w:after="0"/>
              <w:rPr>
                <w:sz w:val="20"/>
                <w:szCs w:val="20"/>
                <w:color w:val="auto"/>
              </w:rPr>
            </w:pPr>
            <w:r>
              <w:rPr>
                <w:rFonts w:ascii="Arial" w:cs="Arial" w:eastAsia="Arial" w:hAnsi="Arial"/>
                <w:sz w:val="20"/>
                <w:szCs w:val="20"/>
                <w:b w:val="1"/>
                <w:bCs w:val="1"/>
                <w:color w:val="auto"/>
              </w:rPr>
              <w:t>5,620</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1020" w:type="dxa"/>
            <w:vAlign w:val="bottom"/>
          </w:tcPr>
          <w:p>
            <w:pPr>
              <w:jc w:val="right"/>
              <w:ind w:right="3"/>
              <w:spacing w:after="0"/>
              <w:rPr>
                <w:sz w:val="20"/>
                <w:szCs w:val="20"/>
                <w:color w:val="auto"/>
              </w:rPr>
            </w:pPr>
            <w:r>
              <w:rPr>
                <w:rFonts w:ascii="Arial" w:cs="Arial" w:eastAsia="Arial" w:hAnsi="Arial"/>
                <w:sz w:val="20"/>
                <w:szCs w:val="20"/>
                <w:b w:val="1"/>
                <w:bCs w:val="1"/>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ind w:left="780"/>
              <w:spacing w:after="0"/>
              <w:rPr>
                <w:sz w:val="20"/>
                <w:szCs w:val="20"/>
                <w:color w:val="auto"/>
              </w:rPr>
            </w:pPr>
            <w:r>
              <w:rPr>
                <w:rFonts w:ascii="Arial" w:cs="Arial" w:eastAsia="Arial" w:hAnsi="Arial"/>
                <w:sz w:val="20"/>
                <w:szCs w:val="20"/>
                <w:b w:val="1"/>
                <w:bCs w:val="1"/>
                <w:color w:val="auto"/>
                <w:w w:val="99"/>
              </w:rPr>
              <w:t>—</w:t>
            </w:r>
          </w:p>
        </w:tc>
      </w:tr>
      <w:tr>
        <w:trPr>
          <w:trHeight w:val="245"/>
        </w:trPr>
        <w:tc>
          <w:tcPr>
            <w:tcW w:w="2660" w:type="dxa"/>
            <w:vAlign w:val="bottom"/>
          </w:tcPr>
          <w:p>
            <w:pPr>
              <w:spacing w:after="0"/>
              <w:rPr>
                <w:sz w:val="20"/>
                <w:szCs w:val="20"/>
                <w:color w:val="auto"/>
              </w:rPr>
            </w:pPr>
            <w:r>
              <w:rPr>
                <w:rFonts w:ascii="Arial" w:cs="Arial" w:eastAsia="Arial" w:hAnsi="Arial"/>
                <w:sz w:val="20"/>
                <w:szCs w:val="20"/>
                <w:b w:val="1"/>
                <w:bCs w:val="1"/>
                <w:color w:val="auto"/>
              </w:rPr>
              <w:t>Asset-backed securities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w w:val="98"/>
              </w:rPr>
              <w:t>20,034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
              <w:spacing w:after="0"/>
              <w:rPr>
                <w:sz w:val="20"/>
                <w:szCs w:val="20"/>
                <w:color w:val="auto"/>
              </w:rPr>
            </w:pPr>
            <w:r>
              <w:rPr>
                <w:rFonts w:ascii="Arial" w:cs="Arial" w:eastAsia="Arial" w:hAnsi="Arial"/>
                <w:sz w:val="20"/>
                <w:szCs w:val="20"/>
                <w:b w:val="1"/>
                <w:bCs w:val="1"/>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3"/>
              <w:spacing w:after="0"/>
              <w:rPr>
                <w:sz w:val="20"/>
                <w:szCs w:val="20"/>
                <w:color w:val="auto"/>
              </w:rPr>
            </w:pPr>
            <w:r>
              <w:rPr>
                <w:rFonts w:ascii="Arial" w:cs="Arial" w:eastAsia="Arial" w:hAnsi="Arial"/>
                <w:sz w:val="20"/>
                <w:szCs w:val="20"/>
                <w:b w:val="1"/>
                <w:bCs w:val="1"/>
                <w:color w:val="auto"/>
              </w:rPr>
              <w:t>20,034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ind w:left="780"/>
              <w:spacing w:after="0"/>
              <w:rPr>
                <w:sz w:val="20"/>
                <w:szCs w:val="20"/>
                <w:color w:val="auto"/>
              </w:rPr>
            </w:pPr>
            <w:r>
              <w:rPr>
                <w:rFonts w:ascii="Arial" w:cs="Arial" w:eastAsia="Arial" w:hAnsi="Arial"/>
                <w:sz w:val="20"/>
                <w:szCs w:val="20"/>
                <w:b w:val="1"/>
                <w:bCs w:val="1"/>
                <w:color w:val="auto"/>
                <w:w w:val="99"/>
              </w:rPr>
              <w:t>—</w:t>
            </w:r>
          </w:p>
        </w:tc>
      </w:tr>
      <w:tr>
        <w:trPr>
          <w:trHeight w:val="242"/>
        </w:trPr>
        <w:tc>
          <w:tcPr>
            <w:tcW w:w="2660" w:type="dxa"/>
            <w:vAlign w:val="bottom"/>
          </w:tcPr>
          <w:p>
            <w:pPr>
              <w:spacing w:after="0"/>
              <w:rPr>
                <w:sz w:val="20"/>
                <w:szCs w:val="20"/>
                <w:color w:val="auto"/>
              </w:rPr>
            </w:pPr>
            <w:r>
              <w:rPr>
                <w:rFonts w:ascii="Arial" w:cs="Arial" w:eastAsia="Arial" w:hAnsi="Arial"/>
                <w:sz w:val="20"/>
                <w:szCs w:val="20"/>
                <w:b w:val="1"/>
                <w:bCs w:val="1"/>
                <w:color w:val="auto"/>
              </w:rPr>
              <w:t>U.S. treasury securities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w w:val="98"/>
              </w:rPr>
              <w:t>14,364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
              <w:spacing w:after="0"/>
              <w:rPr>
                <w:sz w:val="20"/>
                <w:szCs w:val="20"/>
                <w:color w:val="auto"/>
              </w:rPr>
            </w:pPr>
            <w:r>
              <w:rPr>
                <w:rFonts w:ascii="Arial" w:cs="Arial" w:eastAsia="Arial" w:hAnsi="Arial"/>
                <w:sz w:val="20"/>
                <w:szCs w:val="20"/>
                <w:b w:val="1"/>
                <w:bCs w:val="1"/>
                <w:color w:val="auto"/>
              </w:rPr>
              <w:t>12,379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3"/>
              <w:spacing w:after="0"/>
              <w:rPr>
                <w:sz w:val="20"/>
                <w:szCs w:val="20"/>
                <w:color w:val="auto"/>
              </w:rPr>
            </w:pPr>
            <w:r>
              <w:rPr>
                <w:rFonts w:ascii="Arial" w:cs="Arial" w:eastAsia="Arial" w:hAnsi="Arial"/>
                <w:sz w:val="20"/>
                <w:szCs w:val="20"/>
                <w:b w:val="1"/>
                <w:bCs w:val="1"/>
                <w:color w:val="auto"/>
              </w:rPr>
              <w:t>1,985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ind w:left="780"/>
              <w:spacing w:after="0"/>
              <w:rPr>
                <w:sz w:val="20"/>
                <w:szCs w:val="20"/>
                <w:color w:val="auto"/>
              </w:rPr>
            </w:pPr>
            <w:r>
              <w:rPr>
                <w:rFonts w:ascii="Arial" w:cs="Arial" w:eastAsia="Arial" w:hAnsi="Arial"/>
                <w:sz w:val="20"/>
                <w:szCs w:val="20"/>
                <w:b w:val="1"/>
                <w:bCs w:val="1"/>
                <w:color w:val="auto"/>
                <w:w w:val="99"/>
              </w:rPr>
              <w:t>—</w:t>
            </w:r>
          </w:p>
        </w:tc>
      </w:tr>
      <w:tr>
        <w:trPr>
          <w:trHeight w:val="245"/>
        </w:trPr>
        <w:tc>
          <w:tcPr>
            <w:tcW w:w="2660" w:type="dxa"/>
            <w:vAlign w:val="bottom"/>
          </w:tcPr>
          <w:p>
            <w:pPr>
              <w:spacing w:after="0"/>
              <w:rPr>
                <w:sz w:val="20"/>
                <w:szCs w:val="20"/>
                <w:color w:val="auto"/>
              </w:rPr>
            </w:pPr>
            <w:r>
              <w:rPr>
                <w:rFonts w:ascii="Arial" w:cs="Arial" w:eastAsia="Arial" w:hAnsi="Arial"/>
                <w:sz w:val="20"/>
                <w:szCs w:val="20"/>
                <w:b w:val="1"/>
                <w:bCs w:val="1"/>
                <w:color w:val="auto"/>
              </w:rPr>
              <w:t>Commercial paper</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2,082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
              <w:spacing w:after="0"/>
              <w:rPr>
                <w:sz w:val="20"/>
                <w:szCs w:val="20"/>
                <w:color w:val="auto"/>
              </w:rPr>
            </w:pPr>
            <w:r>
              <w:rPr>
                <w:rFonts w:ascii="Arial" w:cs="Arial" w:eastAsia="Arial" w:hAnsi="Arial"/>
                <w:sz w:val="20"/>
                <w:szCs w:val="20"/>
                <w:b w:val="1"/>
                <w:bCs w:val="1"/>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3"/>
              <w:spacing w:after="0"/>
              <w:rPr>
                <w:sz w:val="20"/>
                <w:szCs w:val="20"/>
                <w:color w:val="auto"/>
              </w:rPr>
            </w:pPr>
            <w:r>
              <w:rPr>
                <w:rFonts w:ascii="Arial" w:cs="Arial" w:eastAsia="Arial" w:hAnsi="Arial"/>
                <w:sz w:val="20"/>
                <w:szCs w:val="20"/>
                <w:b w:val="1"/>
                <w:bCs w:val="1"/>
                <w:color w:val="auto"/>
              </w:rPr>
              <w:t>2,082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ind w:left="780"/>
              <w:spacing w:after="0"/>
              <w:rPr>
                <w:sz w:val="20"/>
                <w:szCs w:val="20"/>
                <w:color w:val="auto"/>
              </w:rPr>
            </w:pPr>
            <w:r>
              <w:rPr>
                <w:rFonts w:ascii="Arial" w:cs="Arial" w:eastAsia="Arial" w:hAnsi="Arial"/>
                <w:sz w:val="20"/>
                <w:szCs w:val="20"/>
                <w:b w:val="1"/>
                <w:bCs w:val="1"/>
                <w:color w:val="auto"/>
                <w:w w:val="99"/>
              </w:rPr>
              <w:t>—</w:t>
            </w:r>
          </w:p>
        </w:tc>
      </w:tr>
      <w:tr>
        <w:trPr>
          <w:trHeight w:val="245"/>
        </w:trPr>
        <w:tc>
          <w:tcPr>
            <w:tcW w:w="2660" w:type="dxa"/>
            <w:vAlign w:val="bottom"/>
          </w:tcPr>
          <w:p>
            <w:pPr>
              <w:spacing w:after="0"/>
              <w:rPr>
                <w:sz w:val="20"/>
                <w:szCs w:val="20"/>
                <w:color w:val="auto"/>
              </w:rPr>
            </w:pPr>
            <w:r>
              <w:rPr>
                <w:rFonts w:ascii="Arial" w:cs="Arial" w:eastAsia="Arial" w:hAnsi="Arial"/>
                <w:sz w:val="20"/>
                <w:szCs w:val="20"/>
                <w:b w:val="1"/>
                <w:bCs w:val="1"/>
                <w:color w:val="auto"/>
              </w:rPr>
              <w:t>Corporate debt securities</w:t>
            </w:r>
          </w:p>
        </w:tc>
        <w:tc>
          <w:tcPr>
            <w:tcW w:w="1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8"/>
              </w:rPr>
              <w:t>26,518</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b w:val="1"/>
                <w:bCs w:val="1"/>
                <w:color w:val="auto"/>
              </w:rPr>
              <w:t>—</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b w:val="1"/>
                <w:bCs w:val="1"/>
                <w:color w:val="auto"/>
              </w:rPr>
              <w:t>26,518</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20"/>
                <w:szCs w:val="20"/>
                <w:b w:val="1"/>
                <w:bCs w:val="1"/>
                <w:color w:val="auto"/>
                <w:w w:val="99"/>
              </w:rPr>
              <w:t>—</w:t>
            </w:r>
          </w:p>
        </w:tc>
      </w:tr>
      <w:tr>
        <w:trPr>
          <w:trHeight w:val="239"/>
        </w:trPr>
        <w:tc>
          <w:tcPr>
            <w:tcW w:w="266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1120" w:type="dxa"/>
            <w:vAlign w:val="bottom"/>
          </w:tcPr>
          <w:p>
            <w:pPr>
              <w:jc w:val="right"/>
              <w:ind w:right="927"/>
              <w:spacing w:after="0"/>
              <w:rPr>
                <w:sz w:val="20"/>
                <w:szCs w:val="20"/>
                <w:color w:val="auto"/>
              </w:rPr>
            </w:pPr>
            <w:r>
              <w:rPr>
                <w:rFonts w:ascii="Arial" w:cs="Arial" w:eastAsia="Arial" w:hAnsi="Arial"/>
                <w:sz w:val="20"/>
                <w:szCs w:val="2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w w:val="98"/>
              </w:rPr>
              <w:t>68,618</w:t>
            </w:r>
          </w:p>
        </w:tc>
        <w:tc>
          <w:tcPr>
            <w:tcW w:w="34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5"/>
              <w:spacing w:after="0"/>
              <w:rPr>
                <w:sz w:val="20"/>
                <w:szCs w:val="20"/>
                <w:color w:val="auto"/>
              </w:rPr>
            </w:pPr>
            <w:r>
              <w:rPr>
                <w:rFonts w:ascii="Arial" w:cs="Arial" w:eastAsia="Arial" w:hAnsi="Arial"/>
                <w:sz w:val="20"/>
                <w:szCs w:val="20"/>
                <w:b w:val="1"/>
                <w:bCs w:val="1"/>
                <w:color w:val="auto"/>
              </w:rPr>
              <w:t>17,999</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1020" w:type="dxa"/>
            <w:vAlign w:val="bottom"/>
          </w:tcPr>
          <w:p>
            <w:pPr>
              <w:jc w:val="right"/>
              <w:ind w:right="3"/>
              <w:spacing w:after="0"/>
              <w:rPr>
                <w:sz w:val="20"/>
                <w:szCs w:val="20"/>
                <w:color w:val="auto"/>
              </w:rPr>
            </w:pPr>
            <w:r>
              <w:rPr>
                <w:rFonts w:ascii="Arial" w:cs="Arial" w:eastAsia="Arial" w:hAnsi="Arial"/>
                <w:sz w:val="20"/>
                <w:szCs w:val="20"/>
                <w:b w:val="1"/>
                <w:bCs w:val="1"/>
                <w:color w:val="auto"/>
              </w:rPr>
              <w:t>50,619</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ind w:left="780"/>
              <w:spacing w:after="0"/>
              <w:rPr>
                <w:sz w:val="20"/>
                <w:szCs w:val="20"/>
                <w:color w:val="auto"/>
              </w:rPr>
            </w:pPr>
            <w:r>
              <w:rPr>
                <w:rFonts w:ascii="Arial" w:cs="Arial" w:eastAsia="Arial" w:hAnsi="Arial"/>
                <w:sz w:val="20"/>
                <w:szCs w:val="20"/>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-1096645</wp:posOffset>
            </wp:positionV>
            <wp:extent cx="5574030" cy="76746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74030" cy="7674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7020" w:firstLine="2"/>
        <w:spacing w:after="0" w:line="430" w:lineRule="auto"/>
        <w:tabs>
          <w:tab w:leader="none" w:pos="199"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Components Property and Equipment, net</w:t>
      </w:r>
    </w:p>
    <w:p>
      <w:pPr>
        <w:spacing w:after="0"/>
        <w:rPr>
          <w:rFonts w:ascii="Arial" w:cs="Arial" w:eastAsia="Arial" w:hAnsi="Arial"/>
          <w:sz w:val="17"/>
          <w:szCs w:val="17"/>
          <w:b w:val="1"/>
          <w:bCs w:val="1"/>
          <w:color w:val="auto"/>
        </w:rPr>
      </w:pPr>
      <w:r>
        <w:rPr>
          <w:rFonts w:ascii="Arial" w:cs="Arial" w:eastAsia="Arial" w:hAnsi="Arial"/>
          <w:sz w:val="20"/>
          <w:szCs w:val="20"/>
          <w:b w:val="1"/>
          <w:bCs w:val="1"/>
          <w:color w:val="auto"/>
        </w:rPr>
        <w:t>Property and equipment, net, consist of the following (in thousands):</w:t>
      </w:r>
    </w:p>
    <w:p>
      <w:pPr>
        <w:spacing w:after="0" w:line="243" w:lineRule="exact"/>
        <w:rPr>
          <w:sz w:val="20"/>
          <w:szCs w:val="20"/>
          <w:color w:val="auto"/>
        </w:rPr>
      </w:pPr>
    </w:p>
    <w:tbl>
      <w:tblPr>
        <w:tblLayout w:type="fixed"/>
        <w:tblInd w:w="1460" w:type="dxa"/>
        <w:tblCellMar>
          <w:top w:w="0" w:type="dxa"/>
          <w:left w:w="0" w:type="dxa"/>
          <w:bottom w:w="0" w:type="dxa"/>
          <w:right w:w="0" w:type="dxa"/>
        </w:tblCellMar>
      </w:tblPr>
      <w:tr>
        <w:trPr>
          <w:trHeight w:val="231"/>
        </w:trPr>
        <w:tc>
          <w:tcPr>
            <w:tcW w:w="4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5"/>
          </w:tcPr>
          <w:p>
            <w:pPr>
              <w:jc w:val="right"/>
              <w:ind w:right="580"/>
              <w:spacing w:after="0"/>
              <w:rPr>
                <w:sz w:val="20"/>
                <w:szCs w:val="20"/>
                <w:color w:val="auto"/>
              </w:rPr>
            </w:pPr>
            <w:r>
              <w:rPr>
                <w:rFonts w:ascii="Arial" w:cs="Arial" w:eastAsia="Arial" w:hAnsi="Arial"/>
                <w:sz w:val="20"/>
                <w:szCs w:val="20"/>
                <w:b w:val="1"/>
                <w:bCs w:val="1"/>
                <w:color w:val="auto"/>
              </w:rPr>
              <w:t>December 31,</w:t>
            </w:r>
          </w:p>
        </w:tc>
      </w:tr>
      <w:tr>
        <w:trPr>
          <w:trHeight w:val="239"/>
        </w:trPr>
        <w:tc>
          <w:tcPr>
            <w:tcW w:w="4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20"/>
                <w:szCs w:val="20"/>
                <w:b w:val="1"/>
                <w:bCs w:val="1"/>
                <w:color w:val="auto"/>
              </w:rPr>
              <w:t>2025</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0"/>
                <w:szCs w:val="20"/>
                <w:color w:val="auto"/>
              </w:rPr>
            </w:pPr>
          </w:p>
        </w:tc>
      </w:tr>
      <w:tr>
        <w:trPr>
          <w:trHeight w:val="239"/>
        </w:trPr>
        <w:tc>
          <w:tcPr>
            <w:tcW w:w="4200" w:type="dxa"/>
            <w:vAlign w:val="bottom"/>
          </w:tcPr>
          <w:p>
            <w:pPr>
              <w:spacing w:after="0"/>
              <w:rPr>
                <w:sz w:val="20"/>
                <w:szCs w:val="20"/>
                <w:color w:val="auto"/>
              </w:rPr>
            </w:pPr>
            <w:r>
              <w:rPr>
                <w:rFonts w:ascii="Arial" w:cs="Arial" w:eastAsia="Arial" w:hAnsi="Arial"/>
                <w:sz w:val="20"/>
                <w:szCs w:val="20"/>
                <w:b w:val="1"/>
                <w:bCs w:val="1"/>
                <w:color w:val="auto"/>
              </w:rPr>
              <w:t>Laboratory equipment</w:t>
            </w:r>
          </w:p>
        </w:tc>
        <w:tc>
          <w:tcPr>
            <w:tcW w:w="5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7,888</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9,745</w:t>
            </w:r>
          </w:p>
        </w:tc>
        <w:tc>
          <w:tcPr>
            <w:tcW w:w="80" w:type="dxa"/>
            <w:vAlign w:val="bottom"/>
          </w:tcPr>
          <w:p>
            <w:pPr>
              <w:spacing w:after="0"/>
              <w:rPr>
                <w:sz w:val="20"/>
                <w:szCs w:val="20"/>
                <w:color w:val="auto"/>
              </w:rPr>
            </w:pPr>
          </w:p>
        </w:tc>
      </w:tr>
      <w:tr>
        <w:trPr>
          <w:trHeight w:val="245"/>
        </w:trPr>
        <w:tc>
          <w:tcPr>
            <w:tcW w:w="4200" w:type="dxa"/>
            <w:vAlign w:val="bottom"/>
          </w:tcPr>
          <w:p>
            <w:pPr>
              <w:spacing w:after="0"/>
              <w:rPr>
                <w:sz w:val="20"/>
                <w:szCs w:val="20"/>
                <w:color w:val="auto"/>
              </w:rPr>
            </w:pPr>
            <w:r>
              <w:rPr>
                <w:rFonts w:ascii="Arial" w:cs="Arial" w:eastAsia="Arial" w:hAnsi="Arial"/>
                <w:sz w:val="20"/>
                <w:szCs w:val="20"/>
                <w:b w:val="1"/>
                <w:bCs w:val="1"/>
                <w:color w:val="auto"/>
              </w:rPr>
              <w:t>Office equipment</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386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386</w:t>
            </w:r>
          </w:p>
        </w:tc>
        <w:tc>
          <w:tcPr>
            <w:tcW w:w="80" w:type="dxa"/>
            <w:vAlign w:val="bottom"/>
          </w:tcPr>
          <w:p>
            <w:pPr>
              <w:spacing w:after="0"/>
              <w:rPr>
                <w:sz w:val="21"/>
                <w:szCs w:val="21"/>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20"/>
                <w:szCs w:val="20"/>
                <w:b w:val="1"/>
                <w:bCs w:val="1"/>
                <w:color w:val="auto"/>
              </w:rPr>
              <w:t>Leasehold improvements</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358</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286</w:t>
            </w:r>
          </w:p>
        </w:tc>
        <w:tc>
          <w:tcPr>
            <w:tcW w:w="80" w:type="dxa"/>
            <w:vAlign w:val="bottom"/>
          </w:tcPr>
          <w:p>
            <w:pPr>
              <w:spacing w:after="0"/>
              <w:rPr>
                <w:sz w:val="21"/>
                <w:szCs w:val="21"/>
                <w:color w:val="auto"/>
              </w:rPr>
            </w:pPr>
          </w:p>
        </w:tc>
      </w:tr>
      <w:tr>
        <w:trPr>
          <w:trHeight w:val="239"/>
        </w:trPr>
        <w:tc>
          <w:tcPr>
            <w:tcW w:w="4200" w:type="dxa"/>
            <w:vAlign w:val="bottom"/>
          </w:tcPr>
          <w:p>
            <w:pPr>
              <w:spacing w:after="0"/>
              <w:rPr>
                <w:sz w:val="20"/>
                <w:szCs w:val="20"/>
                <w:color w:val="auto"/>
              </w:rPr>
            </w:pPr>
            <w:r>
              <w:rPr>
                <w:rFonts w:ascii="Arial" w:cs="Arial" w:eastAsia="Arial" w:hAnsi="Arial"/>
                <w:sz w:val="20"/>
                <w:szCs w:val="20"/>
                <w:b w:val="1"/>
                <w:bCs w:val="1"/>
                <w:color w:val="auto"/>
              </w:rPr>
              <w:t>Total property and equipment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8,632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10,417</w:t>
            </w:r>
          </w:p>
        </w:tc>
        <w:tc>
          <w:tcPr>
            <w:tcW w:w="80" w:type="dxa"/>
            <w:vAlign w:val="bottom"/>
          </w:tcPr>
          <w:p>
            <w:pPr>
              <w:spacing w:after="0"/>
              <w:rPr>
                <w:sz w:val="20"/>
                <w:szCs w:val="20"/>
                <w:color w:val="auto"/>
              </w:rPr>
            </w:pPr>
          </w:p>
        </w:tc>
      </w:tr>
      <w:tr>
        <w:trPr>
          <w:trHeight w:val="245"/>
        </w:trPr>
        <w:tc>
          <w:tcPr>
            <w:tcW w:w="4200" w:type="dxa"/>
            <w:vAlign w:val="bottom"/>
          </w:tcPr>
          <w:p>
            <w:pPr>
              <w:spacing w:after="0"/>
              <w:rPr>
                <w:sz w:val="20"/>
                <w:szCs w:val="20"/>
                <w:color w:val="auto"/>
              </w:rPr>
            </w:pPr>
            <w:r>
              <w:rPr>
                <w:rFonts w:ascii="Arial" w:cs="Arial" w:eastAsia="Arial" w:hAnsi="Arial"/>
                <w:sz w:val="20"/>
                <w:szCs w:val="20"/>
                <w:b w:val="1"/>
                <w:bCs w:val="1"/>
                <w:color w:val="auto"/>
                <w:w w:val="90"/>
              </w:rPr>
              <w:t>Less accumulated depreciation and amortization</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(7,387)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(7,278)</w:t>
            </w:r>
          </w:p>
        </w:tc>
      </w:tr>
      <w:tr>
        <w:trPr>
          <w:trHeight w:val="20"/>
        </w:trPr>
        <w:tc>
          <w:tcPr>
            <w:tcW w:w="4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9"/>
        </w:trPr>
        <w:tc>
          <w:tcPr>
            <w:tcW w:w="420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5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1,245</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3,139</w:t>
            </w:r>
          </w:p>
        </w:tc>
        <w:tc>
          <w:tcPr>
            <w:tcW w:w="80" w:type="dxa"/>
            <w:vAlign w:val="bottom"/>
          </w:tcPr>
          <w:p>
            <w:pPr>
              <w:spacing w:after="0"/>
              <w:rPr>
                <w:sz w:val="20"/>
                <w:szCs w:val="20"/>
                <w:color w:val="auto"/>
              </w:rPr>
            </w:pPr>
          </w:p>
        </w:tc>
      </w:tr>
    </w:tbl>
    <w:p>
      <w:pPr>
        <w:spacing w:after="0" w:line="285" w:lineRule="exact"/>
        <w:rPr>
          <w:sz w:val="20"/>
          <w:szCs w:val="20"/>
          <w:color w:val="auto"/>
        </w:rPr>
      </w:pPr>
    </w:p>
    <w:p>
      <w:pPr>
        <w:ind w:right="720"/>
        <w:spacing w:after="0" w:line="234" w:lineRule="auto"/>
        <w:rPr>
          <w:sz w:val="20"/>
          <w:szCs w:val="20"/>
          <w:color w:val="auto"/>
        </w:rPr>
      </w:pPr>
      <w:r>
        <w:rPr>
          <w:rFonts w:ascii="Arial" w:cs="Arial" w:eastAsia="Arial" w:hAnsi="Arial"/>
          <w:sz w:val="20"/>
          <w:szCs w:val="20"/>
          <w:b w:val="1"/>
          <w:bCs w:val="1"/>
          <w:color w:val="auto"/>
        </w:rPr>
        <w:t>Depreciation expense related to property and equipment was $1.3 million and $1.8 million for the years ended December 31, 2025 and 2024,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 of Property and Equipment, net</w:t>
      </w:r>
    </w:p>
    <w:p>
      <w:pPr>
        <w:spacing w:after="0" w:line="241" w:lineRule="exact"/>
        <w:rPr>
          <w:sz w:val="20"/>
          <w:szCs w:val="20"/>
          <w:color w:val="auto"/>
        </w:rPr>
      </w:pPr>
    </w:p>
    <w:p>
      <w:pPr>
        <w:ind w:right="80"/>
        <w:spacing w:after="0" w:line="251" w:lineRule="auto"/>
        <w:rPr>
          <w:sz w:val="20"/>
          <w:szCs w:val="20"/>
          <w:color w:val="auto"/>
        </w:rPr>
      </w:pPr>
      <w:r>
        <w:rPr>
          <w:rFonts w:ascii="Arial" w:cs="Arial" w:eastAsia="Arial" w:hAnsi="Arial"/>
          <w:sz w:val="19"/>
          <w:szCs w:val="19"/>
          <w:b w:val="1"/>
          <w:bCs w:val="1"/>
          <w:color w:val="auto"/>
        </w:rPr>
        <w:t>During the year ended December 31, 2025, the Company sold certain laboratory equipment. As a result, the Company recorded proceeds of $1.0 million and incurred a gain on disposal of $0.3 million.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Prepaids and Other Current Assets and Other Non-current Assets</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Prepaids and other current assets and other non-current assets consist of the following (in thousands):</w:t>
      </w:r>
    </w:p>
    <w:p>
      <w:pPr>
        <w:spacing w:after="0" w:line="13" w:lineRule="exact"/>
        <w:rPr>
          <w:sz w:val="20"/>
          <w:szCs w:val="20"/>
          <w:color w:val="auto"/>
        </w:rPr>
      </w:pPr>
    </w:p>
    <w:p>
      <w:pPr>
        <w:ind w:left="6500"/>
        <w:spacing w:after="0"/>
        <w:rPr>
          <w:sz w:val="20"/>
          <w:szCs w:val="20"/>
          <w:color w:val="auto"/>
        </w:rPr>
      </w:pPr>
      <w:r>
        <w:rPr>
          <w:rFonts w:ascii="Arial" w:cs="Arial" w:eastAsia="Arial" w:hAnsi="Arial"/>
          <w:sz w:val="20"/>
          <w:szCs w:val="20"/>
          <w:b w:val="1"/>
          <w:bCs w:val="1"/>
          <w:color w:val="auto"/>
        </w:rPr>
        <w:t>December 31,</w:t>
      </w:r>
    </w:p>
    <w:p>
      <w:pPr>
        <w:spacing w:after="0" w:line="29" w:lineRule="exact"/>
        <w:rPr>
          <w:sz w:val="20"/>
          <w:szCs w:val="20"/>
          <w:color w:val="auto"/>
        </w:rPr>
      </w:pPr>
    </w:p>
    <w:p>
      <w:pPr>
        <w:ind w:left="6300"/>
        <w:spacing w:after="0"/>
        <w:tabs>
          <w:tab w:leader="none" w:pos="7460" w:val="left"/>
        </w:tabs>
        <w:rPr>
          <w:sz w:val="20"/>
          <w:szCs w:val="20"/>
          <w:color w:val="auto"/>
        </w:rPr>
      </w:pPr>
      <w:r>
        <w:rPr>
          <w:rFonts w:ascii="Arial" w:cs="Arial" w:eastAsia="Arial" w:hAnsi="Arial"/>
          <w:sz w:val="20"/>
          <w:szCs w:val="20"/>
          <w:b w:val="1"/>
          <w:bCs w:val="1"/>
          <w:color w:val="auto"/>
        </w:rPr>
        <w:t>2025</w:t>
      </w:r>
      <w:r>
        <w:rPr>
          <w:sz w:val="20"/>
          <w:szCs w:val="20"/>
          <w:color w:val="auto"/>
        </w:rPr>
        <w:tab/>
      </w:r>
      <w:r>
        <w:rPr>
          <w:rFonts w:ascii="Arial" w:cs="Arial" w:eastAsia="Arial" w:hAnsi="Arial"/>
          <w:sz w:val="20"/>
          <w:szCs w:val="20"/>
          <w:b w:val="1"/>
          <w:bCs w:val="1"/>
          <w:color w:val="auto"/>
        </w:rPr>
        <w:t>2024</w:t>
      </w:r>
    </w:p>
    <w:p>
      <w:pPr>
        <w:spacing w:after="0" w:line="29"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20"/>
                <w:szCs w:val="20"/>
                <w:b w:val="1"/>
                <w:bCs w:val="1"/>
                <w:color w:val="auto"/>
              </w:rPr>
              <w:t>Prepaids and other current assets:</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5"/>
        </w:trPr>
        <w:tc>
          <w:tcPr>
            <w:tcW w:w="4540" w:type="dxa"/>
            <w:vAlign w:val="bottom"/>
          </w:tcPr>
          <w:p>
            <w:pPr>
              <w:ind w:left="200"/>
              <w:spacing w:after="0"/>
              <w:rPr>
                <w:sz w:val="20"/>
                <w:szCs w:val="20"/>
                <w:color w:val="auto"/>
              </w:rPr>
            </w:pPr>
            <w:r>
              <w:rPr>
                <w:rFonts w:ascii="Arial" w:cs="Arial" w:eastAsia="Arial" w:hAnsi="Arial"/>
                <w:sz w:val="20"/>
                <w:szCs w:val="20"/>
                <w:b w:val="1"/>
                <w:bCs w:val="1"/>
                <w:color w:val="auto"/>
                <w:w w:val="85"/>
              </w:rPr>
              <w:t>Cloud computing arrangement implementation costs</w:t>
            </w:r>
          </w:p>
        </w:tc>
        <w:tc>
          <w:tcPr>
            <w:tcW w:w="320" w:type="dxa"/>
            <w:vAlign w:val="bottom"/>
          </w:tcPr>
          <w:p>
            <w:pPr>
              <w:jc w:val="right"/>
              <w:ind w:right="120"/>
              <w:spacing w:after="0"/>
              <w:rPr>
                <w:sz w:val="20"/>
                <w:szCs w:val="20"/>
                <w:color w:val="auto"/>
              </w:rPr>
            </w:pPr>
            <w:r>
              <w:rPr>
                <w:rFonts w:ascii="Arial" w:cs="Arial" w:eastAsia="Arial" w:hAnsi="Arial"/>
                <w:sz w:val="20"/>
                <w:szCs w:val="20"/>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175</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55</w:t>
            </w:r>
          </w:p>
        </w:tc>
      </w:tr>
      <w:tr>
        <w:trPr>
          <w:trHeight w:val="245"/>
        </w:trPr>
        <w:tc>
          <w:tcPr>
            <w:tcW w:w="4540" w:type="dxa"/>
            <w:vAlign w:val="bottom"/>
          </w:tcPr>
          <w:p>
            <w:pPr>
              <w:ind w:left="200"/>
              <w:spacing w:after="0"/>
              <w:rPr>
                <w:sz w:val="20"/>
                <w:szCs w:val="20"/>
                <w:color w:val="auto"/>
              </w:rPr>
            </w:pPr>
            <w:r>
              <w:rPr>
                <w:rFonts w:ascii="Arial" w:cs="Arial" w:eastAsia="Arial" w:hAnsi="Arial"/>
                <w:sz w:val="20"/>
                <w:szCs w:val="20"/>
                <w:b w:val="1"/>
                <w:bCs w:val="1"/>
                <w:color w:val="auto"/>
              </w:rPr>
              <w:t>Prepaid software</w:t>
            </w: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365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501</w:t>
            </w:r>
          </w:p>
        </w:tc>
      </w:tr>
      <w:tr>
        <w:trPr>
          <w:trHeight w:val="242"/>
        </w:trPr>
        <w:tc>
          <w:tcPr>
            <w:tcW w:w="4540" w:type="dxa"/>
            <w:vAlign w:val="bottom"/>
          </w:tcPr>
          <w:p>
            <w:pPr>
              <w:ind w:left="200"/>
              <w:spacing w:after="0"/>
              <w:rPr>
                <w:sz w:val="20"/>
                <w:szCs w:val="20"/>
                <w:color w:val="auto"/>
              </w:rPr>
            </w:pPr>
            <w:r>
              <w:rPr>
                <w:rFonts w:ascii="Arial" w:cs="Arial" w:eastAsia="Arial" w:hAnsi="Arial"/>
                <w:sz w:val="20"/>
                <w:szCs w:val="20"/>
                <w:b w:val="1"/>
                <w:bCs w:val="1"/>
                <w:color w:val="auto"/>
              </w:rPr>
              <w:t>Prepaid rent</w:t>
            </w: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564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532</w:t>
            </w:r>
          </w:p>
        </w:tc>
      </w:tr>
      <w:tr>
        <w:trPr>
          <w:trHeight w:val="245"/>
        </w:trPr>
        <w:tc>
          <w:tcPr>
            <w:tcW w:w="4540" w:type="dxa"/>
            <w:vAlign w:val="bottom"/>
          </w:tcPr>
          <w:p>
            <w:pPr>
              <w:ind w:left="200"/>
              <w:spacing w:after="0"/>
              <w:rPr>
                <w:sz w:val="20"/>
                <w:szCs w:val="20"/>
                <w:color w:val="auto"/>
              </w:rPr>
            </w:pPr>
            <w:r>
              <w:rPr>
                <w:rFonts w:ascii="Arial" w:cs="Arial" w:eastAsia="Arial" w:hAnsi="Arial"/>
                <w:sz w:val="20"/>
                <w:szCs w:val="20"/>
                <w:b w:val="1"/>
                <w:bCs w:val="1"/>
                <w:color w:val="auto"/>
              </w:rPr>
              <w:t>Other receivables, net</w:t>
            </w: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973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1,165</w:t>
            </w:r>
          </w:p>
        </w:tc>
      </w:tr>
      <w:tr>
        <w:trPr>
          <w:trHeight w:val="245"/>
        </w:trPr>
        <w:tc>
          <w:tcPr>
            <w:tcW w:w="4540" w:type="dxa"/>
            <w:vAlign w:val="bottom"/>
          </w:tcPr>
          <w:p>
            <w:pPr>
              <w:ind w:left="200"/>
              <w:spacing w:after="0"/>
              <w:rPr>
                <w:sz w:val="20"/>
                <w:szCs w:val="20"/>
                <w:color w:val="auto"/>
              </w:rPr>
            </w:pPr>
            <w:r>
              <w:rPr>
                <w:rFonts w:ascii="Arial" w:cs="Arial" w:eastAsia="Arial" w:hAnsi="Arial"/>
                <w:sz w:val="20"/>
                <w:szCs w:val="20"/>
                <w:b w:val="1"/>
                <w:bCs w:val="1"/>
                <w:color w:val="auto"/>
              </w:rPr>
              <w:t>Other prepaids and other current assets</w:t>
            </w: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478</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454</w:t>
            </w:r>
          </w:p>
        </w:tc>
      </w:tr>
      <w:tr>
        <w:trPr>
          <w:trHeight w:val="239"/>
        </w:trPr>
        <w:tc>
          <w:tcPr>
            <w:tcW w:w="4540" w:type="dxa"/>
            <w:vAlign w:val="bottom"/>
          </w:tcPr>
          <w:p>
            <w:pPr>
              <w:spacing w:after="0"/>
              <w:rPr>
                <w:sz w:val="20"/>
                <w:szCs w:val="20"/>
                <w:color w:val="auto"/>
              </w:rPr>
            </w:pPr>
            <w:r>
              <w:rPr>
                <w:rFonts w:ascii="Arial" w:cs="Arial" w:eastAsia="Arial" w:hAnsi="Arial"/>
                <w:sz w:val="20"/>
                <w:szCs w:val="20"/>
                <w:b w:val="1"/>
                <w:bCs w:val="1"/>
                <w:color w:val="auto"/>
              </w:rPr>
              <w:t>Prepaids and other current assets</w:t>
            </w:r>
          </w:p>
        </w:tc>
        <w:tc>
          <w:tcPr>
            <w:tcW w:w="320" w:type="dxa"/>
            <w:vAlign w:val="bottom"/>
          </w:tcPr>
          <w:p>
            <w:pPr>
              <w:jc w:val="right"/>
              <w:ind w:right="120"/>
              <w:spacing w:after="0"/>
              <w:rPr>
                <w:sz w:val="20"/>
                <w:szCs w:val="20"/>
                <w:color w:val="auto"/>
              </w:rPr>
            </w:pPr>
            <w:r>
              <w:rPr>
                <w:rFonts w:ascii="Arial" w:cs="Arial" w:eastAsia="Arial" w:hAnsi="Arial"/>
                <w:sz w:val="20"/>
                <w:szCs w:val="20"/>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2,555</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2,707</w:t>
            </w:r>
          </w:p>
        </w:tc>
      </w:tr>
      <w:tr>
        <w:trPr>
          <w:trHeight w:val="288"/>
        </w:trPr>
        <w:tc>
          <w:tcPr>
            <w:tcW w:w="4540" w:type="dxa"/>
            <w:vAlign w:val="bottom"/>
          </w:tcPr>
          <w:p>
            <w:pPr>
              <w:spacing w:after="0"/>
              <w:rPr>
                <w:sz w:val="20"/>
                <w:szCs w:val="20"/>
                <w:color w:val="auto"/>
              </w:rPr>
            </w:pPr>
            <w:r>
              <w:rPr>
                <w:rFonts w:ascii="Arial" w:cs="Arial" w:eastAsia="Arial" w:hAnsi="Arial"/>
                <w:sz w:val="20"/>
                <w:szCs w:val="20"/>
                <w:b w:val="1"/>
                <w:bCs w:val="1"/>
                <w:color w:val="auto"/>
              </w:rPr>
              <w:t>Other non-current assets</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5"/>
        </w:trPr>
        <w:tc>
          <w:tcPr>
            <w:tcW w:w="4540" w:type="dxa"/>
            <w:vAlign w:val="bottom"/>
          </w:tcPr>
          <w:p>
            <w:pPr>
              <w:ind w:left="200"/>
              <w:spacing w:after="0"/>
              <w:rPr>
                <w:sz w:val="20"/>
                <w:szCs w:val="20"/>
                <w:color w:val="auto"/>
              </w:rPr>
            </w:pPr>
            <w:r>
              <w:rPr>
                <w:rFonts w:ascii="Arial" w:cs="Arial" w:eastAsia="Arial" w:hAnsi="Arial"/>
                <w:sz w:val="20"/>
                <w:szCs w:val="20"/>
                <w:b w:val="1"/>
                <w:bCs w:val="1"/>
                <w:color w:val="auto"/>
                <w:w w:val="97"/>
              </w:rPr>
              <w:t>Cloud computing arrangement implementation</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28"/>
        </w:trPr>
        <w:tc>
          <w:tcPr>
            <w:tcW w:w="4540" w:type="dxa"/>
            <w:vAlign w:val="bottom"/>
          </w:tcPr>
          <w:p>
            <w:pPr>
              <w:ind w:left="200"/>
              <w:spacing w:after="0" w:line="228" w:lineRule="exact"/>
              <w:rPr>
                <w:sz w:val="20"/>
                <w:szCs w:val="20"/>
                <w:color w:val="auto"/>
              </w:rPr>
            </w:pPr>
            <w:r>
              <w:rPr>
                <w:rFonts w:ascii="Arial" w:cs="Arial" w:eastAsia="Arial" w:hAnsi="Arial"/>
                <w:sz w:val="20"/>
                <w:szCs w:val="20"/>
                <w:b w:val="1"/>
                <w:bCs w:val="1"/>
                <w:color w:val="auto"/>
              </w:rPr>
              <w:t>costs - non-current</w:t>
            </w:r>
          </w:p>
        </w:tc>
        <w:tc>
          <w:tcPr>
            <w:tcW w:w="320" w:type="dxa"/>
            <w:vAlign w:val="bottom"/>
          </w:tcPr>
          <w:p>
            <w:pPr>
              <w:jc w:val="right"/>
              <w:ind w:right="120"/>
              <w:spacing w:after="0" w:line="228" w:lineRule="exact"/>
              <w:rPr>
                <w:sz w:val="20"/>
                <w:szCs w:val="20"/>
                <w:color w:val="auto"/>
              </w:rPr>
            </w:pPr>
            <w:r>
              <w:rPr>
                <w:rFonts w:ascii="Arial" w:cs="Arial" w:eastAsia="Arial" w:hAnsi="Arial"/>
                <w:sz w:val="20"/>
                <w:szCs w:val="20"/>
                <w:b w:val="1"/>
                <w:bCs w:val="1"/>
                <w:color w:val="auto"/>
                <w:w w:val="71"/>
              </w:rPr>
              <w:t>$</w:t>
            </w:r>
          </w:p>
        </w:tc>
        <w:tc>
          <w:tcPr>
            <w:tcW w:w="7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137</w:t>
            </w:r>
          </w:p>
        </w:tc>
        <w:tc>
          <w:tcPr>
            <w:tcW w:w="440" w:type="dxa"/>
            <w:vAlign w:val="bottom"/>
            <w:gridSpan w:val="2"/>
          </w:tcPr>
          <w:p>
            <w:pPr>
              <w:jc w:val="right"/>
              <w:ind w:right="220"/>
              <w:spacing w:after="0" w:line="228" w:lineRule="exact"/>
              <w:rPr>
                <w:sz w:val="20"/>
                <w:szCs w:val="20"/>
                <w:color w:val="auto"/>
              </w:rPr>
            </w:pPr>
            <w:r>
              <w:rPr>
                <w:rFonts w:ascii="Arial" w:cs="Arial" w:eastAsia="Arial" w:hAnsi="Arial"/>
                <w:sz w:val="20"/>
                <w:szCs w:val="20"/>
                <w:b w:val="1"/>
                <w:bCs w:val="1"/>
                <w:color w:val="auto"/>
              </w:rPr>
              <w:t>$</w:t>
            </w:r>
          </w:p>
        </w:tc>
        <w:tc>
          <w:tcPr>
            <w:tcW w:w="6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51</w:t>
            </w:r>
          </w:p>
        </w:tc>
      </w:tr>
      <w:tr>
        <w:trPr>
          <w:trHeight w:val="245"/>
        </w:trPr>
        <w:tc>
          <w:tcPr>
            <w:tcW w:w="4540" w:type="dxa"/>
            <w:vAlign w:val="bottom"/>
          </w:tcPr>
          <w:p>
            <w:pPr>
              <w:ind w:left="200"/>
              <w:spacing w:after="0"/>
              <w:rPr>
                <w:sz w:val="20"/>
                <w:szCs w:val="20"/>
                <w:color w:val="auto"/>
              </w:rPr>
            </w:pPr>
            <w:r>
              <w:rPr>
                <w:rFonts w:ascii="Arial" w:cs="Arial" w:eastAsia="Arial" w:hAnsi="Arial"/>
                <w:sz w:val="20"/>
                <w:szCs w:val="20"/>
                <w:b w:val="1"/>
                <w:bCs w:val="1"/>
                <w:color w:val="auto"/>
              </w:rPr>
              <w:t>Other non-current assets</w:t>
            </w: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w:t>
            </w:r>
          </w:p>
        </w:tc>
      </w:tr>
      <w:tr>
        <w:trPr>
          <w:trHeight w:val="239"/>
        </w:trPr>
        <w:tc>
          <w:tcPr>
            <w:tcW w:w="4540" w:type="dxa"/>
            <w:vAlign w:val="bottom"/>
          </w:tcPr>
          <w:p>
            <w:pPr>
              <w:spacing w:after="0"/>
              <w:rPr>
                <w:sz w:val="20"/>
                <w:szCs w:val="20"/>
                <w:color w:val="auto"/>
              </w:rPr>
            </w:pPr>
            <w:r>
              <w:rPr>
                <w:rFonts w:ascii="Arial" w:cs="Arial" w:eastAsia="Arial" w:hAnsi="Arial"/>
                <w:sz w:val="20"/>
                <w:szCs w:val="20"/>
                <w:b w:val="1"/>
                <w:bCs w:val="1"/>
                <w:color w:val="auto"/>
              </w:rPr>
              <w:t>Other non-current assets</w:t>
            </w:r>
          </w:p>
        </w:tc>
        <w:tc>
          <w:tcPr>
            <w:tcW w:w="320" w:type="dxa"/>
            <w:vAlign w:val="bottom"/>
          </w:tcPr>
          <w:p>
            <w:pPr>
              <w:jc w:val="right"/>
              <w:ind w:right="120"/>
              <w:spacing w:after="0"/>
              <w:rPr>
                <w:sz w:val="20"/>
                <w:szCs w:val="20"/>
                <w:color w:val="auto"/>
              </w:rPr>
            </w:pPr>
            <w:r>
              <w:rPr>
                <w:rFonts w:ascii="Arial" w:cs="Arial" w:eastAsia="Arial" w:hAnsi="Arial"/>
                <w:sz w:val="20"/>
                <w:szCs w:val="20"/>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138</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62</w:t>
            </w:r>
          </w:p>
        </w:tc>
      </w:tr>
    </w:tbl>
    <w:p>
      <w:pPr>
        <w:spacing w:after="0" w:line="200" w:lineRule="exact"/>
        <w:rPr>
          <w:sz w:val="20"/>
          <w:szCs w:val="20"/>
          <w:color w:val="auto"/>
        </w:rPr>
      </w:pPr>
    </w:p>
    <w:p>
      <w:pPr>
        <w:spacing w:after="0" w:line="205" w:lineRule="exact"/>
        <w:rPr>
          <w:sz w:val="20"/>
          <w:szCs w:val="20"/>
          <w:color w:val="auto"/>
        </w:rPr>
      </w:pPr>
    </w:p>
    <w:p>
      <w:pPr>
        <w:ind w:right="40"/>
        <w:spacing w:after="0" w:line="312" w:lineRule="auto"/>
        <w:rPr>
          <w:sz w:val="20"/>
          <w:szCs w:val="20"/>
          <w:color w:val="auto"/>
        </w:rPr>
      </w:pPr>
      <w:r>
        <w:rPr>
          <w:rFonts w:ascii="Arial" w:cs="Arial" w:eastAsia="Arial" w:hAnsi="Arial"/>
          <w:sz w:val="17"/>
          <w:szCs w:val="17"/>
          <w:b w:val="1"/>
          <w:bCs w:val="1"/>
          <w:color w:val="auto"/>
        </w:rPr>
        <w:t>As of December 31, 2025 and 2024, cloud computing arrangement implementation costs consisted of deferred costs of zero and zero, respectively, and associated accumulated amortization of $0.2 million and $0.4 million, respectively.</w:t>
      </w:r>
    </w:p>
    <w:p>
      <w:pPr>
        <w:sectPr>
          <w:pgSz w:w="12240" w:h="15840" w:orient="portrait"/>
          <w:cols w:equalWidth="0" w:num="1">
            <w:col w:w="9540"/>
          </w:cols>
          <w:pgMar w:left="1260" w:top="1093"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94</w:t>
      </w:r>
    </w:p>
    <w:p>
      <w:pPr>
        <w:sectPr>
          <w:pgSz w:w="12240" w:h="15840" w:orient="portrait"/>
          <w:cols w:equalWidth="0" w:num="1">
            <w:col w:w="9540"/>
          </w:cols>
          <w:pgMar w:left="1260" w:top="1093" w:right="1440" w:bottom="181" w:gutter="0" w:footer="0" w:header="0"/>
          <w:type w:val="continuous"/>
        </w:sectPr>
      </w:pPr>
    </w:p>
    <w:bookmarkStart w:id="134" w:name="page135"/>
    <w:bookmarkEnd w:id="134"/>
    <w:p>
      <w:pPr>
        <w:spacing w:after="0"/>
        <w:rPr>
          <w:sz w:val="20"/>
          <w:szCs w:val="20"/>
          <w:color w:val="auto"/>
        </w:rPr>
      </w:pPr>
      <w:r>
        <w:rPr>
          <w:rFonts w:ascii="Arial" w:cs="Arial" w:eastAsia="Arial" w:hAnsi="Arial"/>
          <w:sz w:val="20"/>
          <w:szCs w:val="20"/>
          <w:b w:val="1"/>
          <w:bCs w:val="1"/>
          <w:color w:val="auto"/>
        </w:rPr>
        <w:t>Accrued Expenses and Other Current Liabilities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Accrued expenses and other current liabilities consist of the following (in thousands):</w:t>
      </w:r>
    </w:p>
    <w:p>
      <w:pPr>
        <w:spacing w:after="0" w:line="243" w:lineRule="exact"/>
        <w:rPr>
          <w:sz w:val="20"/>
          <w:szCs w:val="20"/>
          <w:color w:val="auto"/>
        </w:rPr>
      </w:pPr>
    </w:p>
    <w:tbl>
      <w:tblPr>
        <w:tblLayout w:type="fixed"/>
        <w:tblInd w:w="1460" w:type="dxa"/>
        <w:tblCellMar>
          <w:top w:w="0" w:type="dxa"/>
          <w:left w:w="0" w:type="dxa"/>
          <w:bottom w:w="0" w:type="dxa"/>
          <w:right w:w="0" w:type="dxa"/>
        </w:tblCellMar>
      </w:tblPr>
      <w:tr>
        <w:trPr>
          <w:trHeight w:val="231"/>
        </w:trPr>
        <w:tc>
          <w:tcPr>
            <w:tcW w:w="4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20"/>
                <w:szCs w:val="20"/>
                <w:b w:val="1"/>
                <w:bCs w:val="1"/>
                <w:color w:val="auto"/>
              </w:rPr>
              <w:t>December 31,</w:t>
            </w:r>
          </w:p>
        </w:tc>
      </w:tr>
      <w:tr>
        <w:trPr>
          <w:trHeight w:val="239"/>
        </w:trPr>
        <w:tc>
          <w:tcPr>
            <w:tcW w:w="4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b w:val="1"/>
                <w:bCs w:val="1"/>
                <w:color w:val="auto"/>
              </w:rPr>
              <w:t>2025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b w:val="1"/>
                <w:bCs w:val="1"/>
                <w:color w:val="auto"/>
              </w:rPr>
              <w:t>2024</w:t>
            </w:r>
          </w:p>
        </w:tc>
      </w:tr>
      <w:tr>
        <w:trPr>
          <w:trHeight w:val="239"/>
        </w:trPr>
        <w:tc>
          <w:tcPr>
            <w:tcW w:w="4540" w:type="dxa"/>
            <w:vAlign w:val="bottom"/>
          </w:tcPr>
          <w:p>
            <w:pPr>
              <w:spacing w:after="0"/>
              <w:rPr>
                <w:sz w:val="20"/>
                <w:szCs w:val="20"/>
                <w:color w:val="auto"/>
              </w:rPr>
            </w:pPr>
            <w:r>
              <w:rPr>
                <w:rFonts w:ascii="Arial" w:cs="Arial" w:eastAsia="Arial" w:hAnsi="Arial"/>
                <w:sz w:val="20"/>
                <w:szCs w:val="20"/>
                <w:b w:val="1"/>
                <w:bCs w:val="1"/>
                <w:color w:val="auto"/>
              </w:rPr>
              <w:t>Accrued research and development</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1,043</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3,761</w:t>
            </w:r>
          </w:p>
        </w:tc>
      </w:tr>
      <w:tr>
        <w:trPr>
          <w:trHeight w:val="245"/>
        </w:trPr>
        <w:tc>
          <w:tcPr>
            <w:tcW w:w="4540" w:type="dxa"/>
            <w:vAlign w:val="bottom"/>
          </w:tcPr>
          <w:p>
            <w:pPr>
              <w:spacing w:after="0"/>
              <w:rPr>
                <w:sz w:val="20"/>
                <w:szCs w:val="20"/>
                <w:color w:val="auto"/>
              </w:rPr>
            </w:pPr>
            <w:r>
              <w:rPr>
                <w:rFonts w:ascii="Arial" w:cs="Arial" w:eastAsia="Arial" w:hAnsi="Arial"/>
                <w:sz w:val="20"/>
                <w:szCs w:val="20"/>
                <w:b w:val="1"/>
                <w:bCs w:val="1"/>
                <w:color w:val="auto"/>
              </w:rPr>
              <w:t>Accrued compensation</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1,642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4,203</w:t>
            </w:r>
          </w:p>
        </w:tc>
      </w:tr>
      <w:tr>
        <w:trPr>
          <w:trHeight w:val="242"/>
        </w:trPr>
        <w:tc>
          <w:tcPr>
            <w:tcW w:w="4540" w:type="dxa"/>
            <w:vAlign w:val="bottom"/>
          </w:tcPr>
          <w:p>
            <w:pPr>
              <w:spacing w:after="0"/>
              <w:rPr>
                <w:sz w:val="20"/>
                <w:szCs w:val="20"/>
                <w:color w:val="auto"/>
              </w:rPr>
            </w:pPr>
            <w:r>
              <w:rPr>
                <w:rFonts w:ascii="Arial" w:cs="Arial" w:eastAsia="Arial" w:hAnsi="Arial"/>
                <w:sz w:val="20"/>
                <w:szCs w:val="20"/>
                <w:b w:val="1"/>
                <w:bCs w:val="1"/>
                <w:color w:val="auto"/>
              </w:rPr>
              <w:t>Accrued restructuring charges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744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739</w:t>
            </w:r>
          </w:p>
        </w:tc>
      </w:tr>
      <w:tr>
        <w:trPr>
          <w:trHeight w:val="245"/>
        </w:trPr>
        <w:tc>
          <w:tcPr>
            <w:tcW w:w="4540" w:type="dxa"/>
            <w:vAlign w:val="bottom"/>
          </w:tcPr>
          <w:p>
            <w:pPr>
              <w:spacing w:after="0"/>
              <w:rPr>
                <w:sz w:val="20"/>
                <w:szCs w:val="20"/>
                <w:color w:val="auto"/>
              </w:rPr>
            </w:pPr>
            <w:r>
              <w:rPr>
                <w:rFonts w:ascii="Arial" w:cs="Arial" w:eastAsia="Arial" w:hAnsi="Arial"/>
                <w:sz w:val="20"/>
                <w:szCs w:val="20"/>
                <w:b w:val="1"/>
                <w:bCs w:val="1"/>
                <w:color w:val="auto"/>
              </w:rPr>
              <w:t>Accrued other</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288</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380</w:t>
            </w:r>
          </w:p>
        </w:tc>
      </w:tr>
      <w:tr>
        <w:trPr>
          <w:trHeight w:val="239"/>
        </w:trPr>
        <w:tc>
          <w:tcPr>
            <w:tcW w:w="454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3,717</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9,083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-969645</wp:posOffset>
            </wp:positionV>
            <wp:extent cx="4339590" cy="10128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39590" cy="1012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Collaborations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Joint Development and License Agreement with Toray Industries, Inc. (“Toray”)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March 2019, the Company entered into a Joint Development and License Agreement (the “Toray Agreement”)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Toray Industries, Inc. (“Toray”) to jointly develop and commercialize a Boltbody™ immune-stimulating antibody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conjugate (“ISAC”) containing Toray’s proprietary antibody to treat cancer. The Company determined that the Toray</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 is a contract with a customer and should be accounted for under ASC 606. In conjunction with the Toray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the Company entered into a Series T Convertible Preferred Stock Purchase Agreement (the “Series 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 for the issuance of 35,875 shares of Series T convertible preferred stock to Toray. These contracts have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been evaluated together and the consideration in excess of the fair value of the Series T convertible preferred stock of</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 million has been allocated to the Toray Agreement and included in the total consideration for collaboration revenue.</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February 2021, in connection with the Company’s initial public offering (“IPO”), all outstanding shares of Series 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convertible preferred stock were converted into shares of the Company’s common stock.</w:t>
      </w:r>
    </w:p>
    <w:p>
      <w:pPr>
        <w:spacing w:after="0" w:line="251"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b w:val="1"/>
          <w:bCs w:val="1"/>
          <w:color w:val="auto"/>
        </w:rPr>
        <w:t>In the Toray Agreement, the Company has identified one bundled performance obligation which includes the license rights, research and development services and services associated with participation on a joint steering committee. The transaction price includes the $1.5 million allocated from the Series T convertible preferred stock and $2.1 million of estimated variable consideration related to compensation for research and development services at the agreed upon full-time employee rate and third-party costs. Collaboration revenue is recognized over time proportionate to the costs that the Company has incurred to perform the services using an input method as a measure of progress towards satisfying the performance obligation, which is based on project hours. Amounts are billed based on estimated variable consideration in the quarter ahead of performance and are trued up on the subsequent quarter’s invoice following the work performed. The cumulative effect of revisions to estimated hours to complete the Company’s performance obligation will be recorded in the period in which changes are identified and amounts can be reasonably estimated. As of December 31, 2025 and 2024, receivables of $45,000 and $7,500 related to research and development services performed under the Toray Agreement were recorded as part of the prepaid expenses and other current assets line item on the balance sheet. Deferred revenue allocated to the unsatisfied performance obligation is recorded as a contract liability on the balance sheet and will be recognized over time as the services are performed. As of December 31, 2025, contract liabilities totaling $0.8 million at period-end were recorded in deferred revenue with $0.3 million in current liabilities and $0.5 million in non-current liabilities on the balance sheet based on the forecasted periods of performance. As of December 31, 2024, contract liabilities totaling $0.9 million at period-end were recorded in deferred revenue with $0.4 million in current liabilities and $0.5 million in non-current liabilities on the balance sheet based on the forecasted periods of performance.</w:t>
      </w:r>
    </w:p>
    <w:p>
      <w:pPr>
        <w:sectPr>
          <w:pgSz w:w="12240" w:h="15840" w:orient="portrait"/>
          <w:cols w:equalWidth="0" w:num="1">
            <w:col w:w="9700"/>
          </w:cols>
          <w:pgMar w:left="1260" w:top="107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95</w:t>
      </w:r>
    </w:p>
    <w:p>
      <w:pPr>
        <w:sectPr>
          <w:pgSz w:w="12240" w:h="15840" w:orient="portrait"/>
          <w:cols w:equalWidth="0" w:num="1">
            <w:col w:w="9700"/>
          </w:cols>
          <w:pgMar w:left="1260" w:top="1079" w:right="1280" w:bottom="181" w:gutter="0" w:footer="0" w:header="0"/>
          <w:type w:val="continuous"/>
        </w:sectPr>
      </w:pPr>
    </w:p>
    <w:bookmarkStart w:id="135" w:name="page136"/>
    <w:bookmarkEnd w:id="135"/>
    <w:p>
      <w:pPr>
        <w:spacing w:after="0"/>
        <w:rPr>
          <w:sz w:val="20"/>
          <w:szCs w:val="20"/>
          <w:color w:val="auto"/>
        </w:rPr>
      </w:pPr>
      <w:r>
        <w:rPr>
          <w:rFonts w:ascii="Arial" w:cs="Arial" w:eastAsia="Arial" w:hAnsi="Arial"/>
          <w:sz w:val="20"/>
          <w:szCs w:val="20"/>
          <w:b w:val="1"/>
          <w:bCs w:val="1"/>
          <w:color w:val="auto"/>
        </w:rPr>
        <w:t>The following table presents changes in the Company's contract liability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285115</wp:posOffset>
            </wp:positionV>
            <wp:extent cx="3724275" cy="14503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724275" cy="145034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194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20"/>
                <w:szCs w:val="20"/>
                <w:b w:val="1"/>
                <w:bCs w:val="1"/>
                <w:color w:val="auto"/>
              </w:rPr>
              <w:t>Balance at December 31, 2023</w:t>
            </w:r>
          </w:p>
        </w:tc>
        <w:tc>
          <w:tcPr>
            <w:tcW w:w="560" w:type="dxa"/>
            <w:vAlign w:val="bottom"/>
            <w:gridSpan w:val="2"/>
          </w:tcPr>
          <w:p>
            <w:pPr>
              <w:jc w:val="right"/>
              <w:ind w:right="240"/>
              <w:spacing w:after="0"/>
              <w:rPr>
                <w:sz w:val="20"/>
                <w:szCs w:val="20"/>
                <w:color w:val="auto"/>
              </w:rPr>
            </w:pPr>
            <w:r>
              <w:rPr>
                <w:rFonts w:ascii="Arial" w:cs="Arial" w:eastAsia="Arial" w:hAnsi="Arial"/>
                <w:sz w:val="20"/>
                <w:szCs w:val="20"/>
                <w:b w:val="1"/>
                <w:bCs w:val="1"/>
                <w:color w:val="auto"/>
              </w:rPr>
              <w:t>$</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1,502</w:t>
            </w:r>
          </w:p>
        </w:tc>
        <w:tc>
          <w:tcPr>
            <w:tcW w:w="60" w:type="dxa"/>
            <w:vAlign w:val="bottom"/>
          </w:tcPr>
          <w:p>
            <w:pPr>
              <w:spacing w:after="0"/>
              <w:rPr>
                <w:sz w:val="19"/>
                <w:szCs w:val="19"/>
                <w:color w:val="auto"/>
              </w:rPr>
            </w:pPr>
          </w:p>
        </w:tc>
      </w:tr>
      <w:tr>
        <w:trPr>
          <w:trHeight w:val="245"/>
        </w:trPr>
        <w:tc>
          <w:tcPr>
            <w:tcW w:w="4480" w:type="dxa"/>
            <w:vAlign w:val="bottom"/>
          </w:tcPr>
          <w:p>
            <w:pPr>
              <w:spacing w:after="0"/>
              <w:rPr>
                <w:sz w:val="20"/>
                <w:szCs w:val="20"/>
                <w:color w:val="auto"/>
              </w:rPr>
            </w:pPr>
            <w:r>
              <w:rPr>
                <w:rFonts w:ascii="Arial" w:cs="Arial" w:eastAsia="Arial" w:hAnsi="Arial"/>
                <w:sz w:val="20"/>
                <w:szCs w:val="20"/>
                <w:b w:val="1"/>
                <w:bCs w:val="1"/>
                <w:color w:val="auto"/>
                <w:w w:val="88"/>
              </w:rPr>
              <w:t>Addition—amount billed or accrued for research and</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20"/>
                <w:szCs w:val="20"/>
                <w:b w:val="1"/>
                <w:bCs w:val="1"/>
                <w:color w:val="auto"/>
              </w:rPr>
              <w:t>development services</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317</w:t>
            </w:r>
          </w:p>
        </w:tc>
        <w:tc>
          <w:tcPr>
            <w:tcW w:w="60" w:type="dxa"/>
            <w:vAlign w:val="bottom"/>
          </w:tcPr>
          <w:p>
            <w:pPr>
              <w:spacing w:after="0"/>
              <w:rPr>
                <w:sz w:val="20"/>
                <w:szCs w:val="20"/>
                <w:color w:val="auto"/>
              </w:rPr>
            </w:pPr>
          </w:p>
        </w:tc>
      </w:tr>
      <w:tr>
        <w:trPr>
          <w:trHeight w:val="242"/>
        </w:trPr>
        <w:tc>
          <w:tcPr>
            <w:tcW w:w="4480" w:type="dxa"/>
            <w:vAlign w:val="bottom"/>
          </w:tcPr>
          <w:p>
            <w:pPr>
              <w:spacing w:after="0"/>
              <w:rPr>
                <w:sz w:val="20"/>
                <w:szCs w:val="20"/>
                <w:color w:val="auto"/>
              </w:rPr>
            </w:pPr>
            <w:r>
              <w:rPr>
                <w:rFonts w:ascii="Arial" w:cs="Arial" w:eastAsia="Arial" w:hAnsi="Arial"/>
                <w:sz w:val="20"/>
                <w:szCs w:val="20"/>
                <w:b w:val="1"/>
                <w:bCs w:val="1"/>
                <w:color w:val="auto"/>
              </w:rPr>
              <w:t>Revenue recognized</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20"/>
                <w:szCs w:val="20"/>
                <w:b w:val="1"/>
                <w:bCs w:val="1"/>
                <w:color w:val="auto"/>
              </w:rPr>
              <w:t>(914)</w:t>
            </w:r>
          </w:p>
        </w:tc>
      </w:tr>
      <w:tr>
        <w:trPr>
          <w:trHeight w:val="259"/>
        </w:trPr>
        <w:tc>
          <w:tcPr>
            <w:tcW w:w="4480" w:type="dxa"/>
            <w:vAlign w:val="bottom"/>
          </w:tcPr>
          <w:p>
            <w:pPr>
              <w:spacing w:after="0"/>
              <w:rPr>
                <w:sz w:val="20"/>
                <w:szCs w:val="20"/>
                <w:color w:val="auto"/>
              </w:rPr>
            </w:pPr>
            <w:r>
              <w:rPr>
                <w:rFonts w:ascii="Arial" w:cs="Arial" w:eastAsia="Arial" w:hAnsi="Arial"/>
                <w:sz w:val="20"/>
                <w:szCs w:val="20"/>
                <w:b w:val="1"/>
                <w:bCs w:val="1"/>
                <w:color w:val="auto"/>
              </w:rPr>
              <w:t>Balance at December 31, 2024</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905</w:t>
            </w:r>
          </w:p>
        </w:tc>
        <w:tc>
          <w:tcPr>
            <w:tcW w:w="60" w:type="dxa"/>
            <w:vAlign w:val="bottom"/>
          </w:tcPr>
          <w:p>
            <w:pPr>
              <w:spacing w:after="0"/>
              <w:rPr>
                <w:sz w:val="22"/>
                <w:szCs w:val="22"/>
                <w:color w:val="auto"/>
              </w:rPr>
            </w:pPr>
          </w:p>
        </w:tc>
      </w:tr>
      <w:tr>
        <w:trPr>
          <w:trHeight w:val="245"/>
        </w:trPr>
        <w:tc>
          <w:tcPr>
            <w:tcW w:w="4480" w:type="dxa"/>
            <w:vAlign w:val="bottom"/>
          </w:tcPr>
          <w:p>
            <w:pPr>
              <w:spacing w:after="0"/>
              <w:rPr>
                <w:sz w:val="20"/>
                <w:szCs w:val="20"/>
                <w:color w:val="auto"/>
              </w:rPr>
            </w:pPr>
            <w:r>
              <w:rPr>
                <w:rFonts w:ascii="Arial" w:cs="Arial" w:eastAsia="Arial" w:hAnsi="Arial"/>
                <w:sz w:val="20"/>
                <w:szCs w:val="20"/>
                <w:b w:val="1"/>
                <w:bCs w:val="1"/>
                <w:color w:val="auto"/>
                <w:w w:val="88"/>
              </w:rPr>
              <w:t>Addition—amount billed or accrued for research and</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20"/>
                <w:szCs w:val="20"/>
                <w:b w:val="1"/>
                <w:bCs w:val="1"/>
                <w:color w:val="auto"/>
              </w:rPr>
              <w:t>development services</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228</w:t>
            </w:r>
          </w:p>
        </w:tc>
        <w:tc>
          <w:tcPr>
            <w:tcW w:w="60" w:type="dxa"/>
            <w:vAlign w:val="bottom"/>
          </w:tcPr>
          <w:p>
            <w:pPr>
              <w:spacing w:after="0"/>
              <w:rPr>
                <w:sz w:val="20"/>
                <w:szCs w:val="20"/>
                <w:color w:val="auto"/>
              </w:rPr>
            </w:pPr>
          </w:p>
        </w:tc>
      </w:tr>
      <w:tr>
        <w:trPr>
          <w:trHeight w:val="245"/>
        </w:trPr>
        <w:tc>
          <w:tcPr>
            <w:tcW w:w="4480" w:type="dxa"/>
            <w:vAlign w:val="bottom"/>
          </w:tcPr>
          <w:p>
            <w:pPr>
              <w:spacing w:after="0"/>
              <w:rPr>
                <w:sz w:val="20"/>
                <w:szCs w:val="20"/>
                <w:color w:val="auto"/>
              </w:rPr>
            </w:pPr>
            <w:r>
              <w:rPr>
                <w:rFonts w:ascii="Arial" w:cs="Arial" w:eastAsia="Arial" w:hAnsi="Arial"/>
                <w:sz w:val="20"/>
                <w:szCs w:val="20"/>
                <w:b w:val="1"/>
                <w:bCs w:val="1"/>
                <w:color w:val="auto"/>
              </w:rPr>
              <w:t>Revenue recognized</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20"/>
                <w:szCs w:val="20"/>
                <w:b w:val="1"/>
                <w:bCs w:val="1"/>
                <w:color w:val="auto"/>
              </w:rPr>
              <w:t>(313)</w:t>
            </w:r>
          </w:p>
        </w:tc>
      </w:tr>
      <w:tr>
        <w:trPr>
          <w:trHeight w:val="20"/>
        </w:trPr>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4480" w:type="dxa"/>
            <w:vAlign w:val="bottom"/>
          </w:tcPr>
          <w:p>
            <w:pPr>
              <w:spacing w:after="0"/>
              <w:rPr>
                <w:sz w:val="20"/>
                <w:szCs w:val="20"/>
                <w:color w:val="auto"/>
              </w:rPr>
            </w:pPr>
            <w:r>
              <w:rPr>
                <w:rFonts w:ascii="Arial" w:cs="Arial" w:eastAsia="Arial" w:hAnsi="Arial"/>
                <w:sz w:val="20"/>
                <w:szCs w:val="20"/>
                <w:b w:val="1"/>
                <w:bCs w:val="1"/>
                <w:color w:val="auto"/>
              </w:rPr>
              <w:t>Balance at December 31, 2025</w:t>
            </w:r>
          </w:p>
        </w:tc>
        <w:tc>
          <w:tcPr>
            <w:tcW w:w="560" w:type="dxa"/>
            <w:vAlign w:val="bottom"/>
            <w:gridSpan w:val="2"/>
          </w:tcPr>
          <w:p>
            <w:pPr>
              <w:jc w:val="right"/>
              <w:ind w:right="240"/>
              <w:spacing w:after="0"/>
              <w:rPr>
                <w:sz w:val="20"/>
                <w:szCs w:val="20"/>
                <w:color w:val="auto"/>
              </w:rPr>
            </w:pPr>
            <w:r>
              <w:rPr>
                <w:rFonts w:ascii="Arial" w:cs="Arial" w:eastAsia="Arial" w:hAnsi="Arial"/>
                <w:sz w:val="20"/>
                <w:szCs w:val="20"/>
                <w:b w:val="1"/>
                <w:bCs w:val="1"/>
                <w:color w:val="auto"/>
              </w:rPr>
              <w:t>$</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820</w:t>
            </w:r>
          </w:p>
        </w:tc>
        <w:tc>
          <w:tcPr>
            <w:tcW w:w="60" w:type="dxa"/>
            <w:vAlign w:val="bottom"/>
          </w:tcPr>
          <w:p>
            <w:pPr>
              <w:spacing w:after="0"/>
              <w:rPr>
                <w:sz w:val="20"/>
                <w:szCs w:val="20"/>
                <w:color w:val="auto"/>
              </w:rPr>
            </w:pPr>
          </w:p>
        </w:tc>
      </w:tr>
    </w:tbl>
    <w:p>
      <w:pPr>
        <w:spacing w:after="0" w:line="297" w:lineRule="exact"/>
        <w:rPr>
          <w:sz w:val="20"/>
          <w:szCs w:val="20"/>
          <w:color w:val="auto"/>
        </w:rPr>
      </w:pPr>
    </w:p>
    <w:p>
      <w:pPr>
        <w:spacing w:after="0" w:line="325" w:lineRule="auto"/>
        <w:rPr>
          <w:sz w:val="20"/>
          <w:szCs w:val="20"/>
          <w:color w:val="auto"/>
        </w:rPr>
      </w:pPr>
      <w:r>
        <w:rPr>
          <w:rFonts w:ascii="Arial" w:cs="Arial" w:eastAsia="Arial" w:hAnsi="Arial"/>
          <w:sz w:val="15"/>
          <w:szCs w:val="15"/>
          <w:b w:val="1"/>
          <w:bCs w:val="1"/>
          <w:color w:val="auto"/>
        </w:rPr>
        <w:t>The Company recorded $0.3 million and $0.9 million revenue during the years ended December 31, 2025 and 2024, respectively. The Toray Agreement includes both fixed and variable considerations. Under the Toray Agreement, the Company will be compensated for early-stage development and manufacturing activities based on agreed full-time equivalent rates and actual out of pocket costs through the completion of the first Phase 1 clinical trial for the collaboration product candidate and Toray is entitled to reimbursement for 50% of such development costs from the Company’s share of revenues collected from the sale or licensing of collaboration products. Although the legal term of the agreement is until collaboration products are no longer sold in the territories covered under the agreement, the parties have present enforceable rights and obligations through the end of the first Phase 1 clinical trial, after which both parties can opt out of continued development under the agreement. As such, the accounting term of the Toray Agreement is considered to terminate upon completion of the first Phase 1 clinical trial. After the conclusion of the first Phase 1 clinical trial, the parties will share equally all costs of development activities necessary for obtaining regulatory approval of collaboration products in the indications in the territories covered under the agreement, unless either party elects to opt out of its co-funding obligations or reduce them by half, which election can be on a region-by-region basis or for the territories covered under the agreement as a whole. Such optional additional items will be accounted for as contract modifications when development advances past certain milestones and the parties both exercise their opt-in rights.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Oncology Research and Development Collaboration with Genmab A/S (“Genmab”)</w:t>
      </w:r>
    </w:p>
    <w:p>
      <w:pPr>
        <w:spacing w:after="0" w:line="129"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b w:val="1"/>
          <w:bCs w:val="1"/>
          <w:color w:val="auto"/>
        </w:rPr>
        <w:t>In May 2021, the Company entered into a License and Collaboration Agreement (the “Genmab Agreement”) with Genmab A/S (“Genmab”). Together, the companies will evaluate Genmab antibodies in combination with the Company’s ISAC technology, with the goal of discovering and developing next-generation ISACs for the treatment of cancer. Under this research collaboration, the companies evaluated multiple ISAC concepts to identify up to three clinical candidates for development. Genmab will fund the research, along with the preclinical and clinical development of these candidates through initial clinical proof of concept. Under the Genmab Agreement, the Company received an upfront payment of $10.0 million. The Company determined that the Genmab Agreement is a contract with a customer and should be accounted for under ASC 606. In conjunction with the Genmab Agreement, the Company entered into a stock purchase agreement (the “Genmab SPA”) for the issuance of 41,052 shares of the Company’s common stock to Genmab for a total purchase price of $15.0 million. These contracts have been evaluated together and the consideration in excess of the fair value of the common stock of $1.4 million has been allocated to the Genmab Agreement and included in the total consideration for collaboration revenue.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the Genmab Agreement, the Company has identified one bundled performance obligation that includes the license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rights, research and development services and services associated with participation on a joint research committee. The</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 price includes the $10.0 million upfront payment, the $1.4 million allocated from the Genmab SPA,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$12.4 million of estimated variable consideration related to compensation for research and development services at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agreed upon full-time employee rate and third-party costs. Collaboration revenue is recognized over time proportionate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the costs that the Company has incurred to perform the services using an input method as a measure of progress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towards satisfying the performance obligation, which is based on project hours. Compensation for the research and</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development services are billed in the quarter based on actual hours incurred to satisfy the performance obligation. The</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cumulative effect of revisions to estimated hours to complete the Company’s performance obligation will be recorded in</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period in which changes are identified and amounts can be reasonably estimated. As of December 31, 2025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2024, receivables of $0.6 million and $0.8 million, respectively, related to research and development</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services performed under the Genmab Agreement were recorded as part of the prepaid expenses and other current assets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line item on the balance sheet. Deferred revenue allocated to the unsatisfied performance obligation is recorded as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liability on the balance sheet and will be recognized over time as the services are performed. As of</w:t>
      </w:r>
    </w:p>
    <w:p>
      <w:pPr>
        <w:sectPr>
          <w:pgSz w:w="12240" w:h="15840" w:orient="portrait"/>
          <w:cols w:equalWidth="0" w:num="1">
            <w:col w:w="9680"/>
          </w:cols>
          <w:pgMar w:left="1260" w:top="1079" w:right="1300" w:bottom="181"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96</w:t>
      </w:r>
    </w:p>
    <w:p>
      <w:pPr>
        <w:sectPr>
          <w:pgSz w:w="12240" w:h="15840" w:orient="portrait"/>
          <w:cols w:equalWidth="0" w:num="1">
            <w:col w:w="9680"/>
          </w:cols>
          <w:pgMar w:left="1260" w:top="1079" w:right="1300" w:bottom="181" w:gutter="0" w:footer="0" w:header="0"/>
          <w:type w:val="continuous"/>
        </w:sectPr>
      </w:pPr>
    </w:p>
    <w:bookmarkStart w:id="136" w:name="page137"/>
    <w:bookmarkEnd w:id="136"/>
    <w:p>
      <w:pPr>
        <w:ind w:right="80"/>
        <w:spacing w:after="0" w:line="237" w:lineRule="auto"/>
        <w:rPr>
          <w:sz w:val="20"/>
          <w:szCs w:val="20"/>
          <w:color w:val="auto"/>
        </w:rPr>
      </w:pPr>
      <w:r>
        <w:rPr>
          <w:rFonts w:ascii="Arial" w:cs="Arial" w:eastAsia="Arial" w:hAnsi="Arial"/>
          <w:sz w:val="20"/>
          <w:szCs w:val="20"/>
          <w:b w:val="1"/>
          <w:bCs w:val="1"/>
          <w:color w:val="auto"/>
        </w:rPr>
        <w:t>December 31, 2025, contract liabilities totaling $1.2 million were recorded in deferred revenue with $0.1 million in current liabilities and $1.1 million in non-current liabilities on the balance sheet based on the forecasted periods of performance. As of December 31, 2024, contract liabilities totaling $5.7 million were recorded in deferred revenue with $2.6 million in current liabilities and $3.1 million in non-current liabilities on the balance sheet based on the forecasted periods of performance.</w:t>
      </w:r>
    </w:p>
    <w:p>
      <w:pPr>
        <w:spacing w:after="0" w:line="254" w:lineRule="exact"/>
        <w:rPr>
          <w:sz w:val="20"/>
          <w:szCs w:val="20"/>
          <w:color w:val="auto"/>
        </w:rPr>
      </w:pPr>
    </w:p>
    <w:p>
      <w:pPr>
        <w:ind w:right="120"/>
        <w:spacing w:after="0" w:line="331" w:lineRule="auto"/>
        <w:rPr>
          <w:sz w:val="20"/>
          <w:szCs w:val="20"/>
          <w:color w:val="auto"/>
        </w:rPr>
      </w:pPr>
      <w:r>
        <w:rPr>
          <w:rFonts w:ascii="Arial" w:cs="Arial" w:eastAsia="Arial" w:hAnsi="Arial"/>
          <w:sz w:val="15"/>
          <w:szCs w:val="15"/>
          <w:b w:val="1"/>
          <w:bCs w:val="1"/>
          <w:color w:val="auto"/>
        </w:rPr>
        <w:t>In 2024, as part of the Company’s ongoing collaboration with Genmab, the Company reassessed the related variable consideration. In alignment with the Company’s latest forecast and strategic objectives, Genmab agreed to take on an increased share of the activities originally planned as joint efforts, further optimizing resource allocation and enhancing operational efficiency. As a result, the Company’s variable consideration was significantly reduced, impacting the recognized revenue for the year ended December 31, 2024. The Company’s previously recognized revenue was not subject to reversal; however, the Company adjusted its forward-looking revenue projections accordingly. While this resulted in no recognized revenue in the three-month period ending December 31, 2024, the Company continued to perform services under the Genmab collaboration agreement during the year ended December 31, 2025.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table presents changes in the Company’s contract liability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132715</wp:posOffset>
            </wp:positionV>
            <wp:extent cx="3724275" cy="14503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724275" cy="1450340"/>
                    </a:xfrm>
                    <a:prstGeom prst="rect">
                      <a:avLst/>
                    </a:prstGeom>
                    <a:noFill/>
                  </pic:spPr>
                </pic:pic>
              </a:graphicData>
            </a:graphic>
          </wp:anchor>
        </w:drawing>
      </w:r>
    </w:p>
    <w:p>
      <w:pPr>
        <w:spacing w:after="0" w:line="223" w:lineRule="exact"/>
        <w:rPr>
          <w:sz w:val="20"/>
          <w:szCs w:val="20"/>
          <w:color w:val="auto"/>
        </w:rPr>
      </w:pPr>
    </w:p>
    <w:tbl>
      <w:tblPr>
        <w:tblLayout w:type="fixed"/>
        <w:tblInd w:w="194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Arial" w:cs="Arial" w:eastAsia="Arial" w:hAnsi="Arial"/>
                <w:sz w:val="20"/>
                <w:szCs w:val="20"/>
                <w:b w:val="1"/>
                <w:bCs w:val="1"/>
                <w:color w:val="auto"/>
              </w:rPr>
              <w:t>Balance at December 31, 2023</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6,664</w:t>
            </w:r>
          </w:p>
        </w:tc>
        <w:tc>
          <w:tcPr>
            <w:tcW w:w="60" w:type="dxa"/>
            <w:vAlign w:val="bottom"/>
          </w:tcPr>
          <w:p>
            <w:pPr>
              <w:spacing w:after="0"/>
              <w:rPr>
                <w:sz w:val="19"/>
                <w:szCs w:val="19"/>
                <w:color w:val="auto"/>
              </w:rPr>
            </w:pPr>
          </w:p>
        </w:tc>
      </w:tr>
      <w:tr>
        <w:trPr>
          <w:trHeight w:val="245"/>
        </w:trPr>
        <w:tc>
          <w:tcPr>
            <w:tcW w:w="4560" w:type="dxa"/>
            <w:vAlign w:val="bottom"/>
          </w:tcPr>
          <w:p>
            <w:pPr>
              <w:spacing w:after="0"/>
              <w:rPr>
                <w:sz w:val="20"/>
                <w:szCs w:val="20"/>
                <w:color w:val="auto"/>
              </w:rPr>
            </w:pPr>
            <w:r>
              <w:rPr>
                <w:rFonts w:ascii="Arial" w:cs="Arial" w:eastAsia="Arial" w:hAnsi="Arial"/>
                <w:sz w:val="20"/>
                <w:szCs w:val="20"/>
                <w:b w:val="1"/>
                <w:bCs w:val="1"/>
                <w:color w:val="auto"/>
                <w:w w:val="86"/>
              </w:rPr>
              <w:t>Addition—amount billed for research and development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20"/>
                <w:szCs w:val="20"/>
                <w:b w:val="1"/>
                <w:bCs w:val="1"/>
                <w:color w:val="auto"/>
              </w:rPr>
              <w:t>services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2,369</w:t>
            </w:r>
          </w:p>
        </w:tc>
        <w:tc>
          <w:tcPr>
            <w:tcW w:w="60" w:type="dxa"/>
            <w:vAlign w:val="bottom"/>
          </w:tcPr>
          <w:p>
            <w:pPr>
              <w:spacing w:after="0"/>
              <w:rPr>
                <w:sz w:val="20"/>
                <w:szCs w:val="20"/>
                <w:color w:val="auto"/>
              </w:rPr>
            </w:pPr>
          </w:p>
        </w:tc>
      </w:tr>
      <w:tr>
        <w:trPr>
          <w:trHeight w:val="243"/>
        </w:trPr>
        <w:tc>
          <w:tcPr>
            <w:tcW w:w="4560" w:type="dxa"/>
            <w:vAlign w:val="bottom"/>
          </w:tcPr>
          <w:p>
            <w:pPr>
              <w:spacing w:after="0"/>
              <w:rPr>
                <w:sz w:val="20"/>
                <w:szCs w:val="20"/>
                <w:color w:val="auto"/>
              </w:rPr>
            </w:pPr>
            <w:r>
              <w:rPr>
                <w:rFonts w:ascii="Arial" w:cs="Arial" w:eastAsia="Arial" w:hAnsi="Arial"/>
                <w:sz w:val="20"/>
                <w:szCs w:val="20"/>
                <w:b w:val="1"/>
                <w:bCs w:val="1"/>
                <w:color w:val="auto"/>
              </w:rPr>
              <w:t>Revenue recognized</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20"/>
                <w:szCs w:val="20"/>
                <w:b w:val="1"/>
                <w:bCs w:val="1"/>
                <w:color w:val="auto"/>
              </w:rPr>
              <w:t>(3,303)</w:t>
            </w:r>
          </w:p>
        </w:tc>
      </w:tr>
      <w:tr>
        <w:trPr>
          <w:trHeight w:val="239"/>
        </w:trPr>
        <w:tc>
          <w:tcPr>
            <w:tcW w:w="4560" w:type="dxa"/>
            <w:vAlign w:val="bottom"/>
          </w:tcPr>
          <w:p>
            <w:pPr>
              <w:spacing w:after="0"/>
              <w:rPr>
                <w:sz w:val="20"/>
                <w:szCs w:val="20"/>
                <w:color w:val="auto"/>
              </w:rPr>
            </w:pPr>
            <w:r>
              <w:rPr>
                <w:rFonts w:ascii="Arial" w:cs="Arial" w:eastAsia="Arial" w:hAnsi="Arial"/>
                <w:sz w:val="20"/>
                <w:szCs w:val="20"/>
                <w:b w:val="1"/>
                <w:bCs w:val="1"/>
                <w:color w:val="auto"/>
              </w:rPr>
              <w:t>Balance at December 31, 2024</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5,730</w:t>
            </w:r>
          </w:p>
        </w:tc>
        <w:tc>
          <w:tcPr>
            <w:tcW w:w="60" w:type="dxa"/>
            <w:vAlign w:val="bottom"/>
          </w:tcPr>
          <w:p>
            <w:pPr>
              <w:spacing w:after="0"/>
              <w:rPr>
                <w:sz w:val="20"/>
                <w:szCs w:val="20"/>
                <w:color w:val="auto"/>
              </w:rPr>
            </w:pPr>
          </w:p>
        </w:tc>
      </w:tr>
      <w:tr>
        <w:trPr>
          <w:trHeight w:val="245"/>
        </w:trPr>
        <w:tc>
          <w:tcPr>
            <w:tcW w:w="4560" w:type="dxa"/>
            <w:vAlign w:val="bottom"/>
          </w:tcPr>
          <w:p>
            <w:pPr>
              <w:spacing w:after="0"/>
              <w:rPr>
                <w:sz w:val="20"/>
                <w:szCs w:val="20"/>
                <w:color w:val="auto"/>
              </w:rPr>
            </w:pPr>
            <w:r>
              <w:rPr>
                <w:rFonts w:ascii="Arial" w:cs="Arial" w:eastAsia="Arial" w:hAnsi="Arial"/>
                <w:sz w:val="20"/>
                <w:szCs w:val="20"/>
                <w:b w:val="1"/>
                <w:bCs w:val="1"/>
                <w:color w:val="auto"/>
                <w:w w:val="86"/>
              </w:rPr>
              <w:t>Addition—amount billed for research and development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20"/>
                <w:szCs w:val="20"/>
                <w:b w:val="1"/>
                <w:bCs w:val="1"/>
                <w:color w:val="auto"/>
              </w:rPr>
              <w:t>services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2,825</w:t>
            </w:r>
          </w:p>
        </w:tc>
        <w:tc>
          <w:tcPr>
            <w:tcW w:w="60" w:type="dxa"/>
            <w:vAlign w:val="bottom"/>
          </w:tcPr>
          <w:p>
            <w:pPr>
              <w:spacing w:after="0"/>
              <w:rPr>
                <w:sz w:val="20"/>
                <w:szCs w:val="20"/>
                <w:color w:val="auto"/>
              </w:rPr>
            </w:pPr>
          </w:p>
        </w:tc>
      </w:tr>
      <w:tr>
        <w:trPr>
          <w:trHeight w:val="243"/>
        </w:trPr>
        <w:tc>
          <w:tcPr>
            <w:tcW w:w="4560" w:type="dxa"/>
            <w:vAlign w:val="bottom"/>
          </w:tcPr>
          <w:p>
            <w:pPr>
              <w:spacing w:after="0"/>
              <w:rPr>
                <w:sz w:val="20"/>
                <w:szCs w:val="20"/>
                <w:color w:val="auto"/>
              </w:rPr>
            </w:pPr>
            <w:r>
              <w:rPr>
                <w:rFonts w:ascii="Arial" w:cs="Arial" w:eastAsia="Arial" w:hAnsi="Arial"/>
                <w:sz w:val="20"/>
                <w:szCs w:val="20"/>
                <w:b w:val="1"/>
                <w:bCs w:val="1"/>
                <w:color w:val="auto"/>
              </w:rPr>
              <w:t>Revenue recognized</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20"/>
                <w:szCs w:val="20"/>
                <w:b w:val="1"/>
                <w:bCs w:val="1"/>
                <w:color w:val="auto"/>
              </w:rPr>
              <w:t>(7,382)</w:t>
            </w:r>
          </w:p>
        </w:tc>
      </w:tr>
      <w:tr>
        <w:trPr>
          <w:trHeight w:val="20"/>
        </w:trPr>
        <w:tc>
          <w:tcPr>
            <w:tcW w:w="4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9"/>
        </w:trPr>
        <w:tc>
          <w:tcPr>
            <w:tcW w:w="4560" w:type="dxa"/>
            <w:vAlign w:val="bottom"/>
          </w:tcPr>
          <w:p>
            <w:pPr>
              <w:spacing w:after="0"/>
              <w:rPr>
                <w:sz w:val="20"/>
                <w:szCs w:val="20"/>
                <w:color w:val="auto"/>
              </w:rPr>
            </w:pPr>
            <w:r>
              <w:rPr>
                <w:rFonts w:ascii="Arial" w:cs="Arial" w:eastAsia="Arial" w:hAnsi="Arial"/>
                <w:sz w:val="20"/>
                <w:szCs w:val="20"/>
                <w:b w:val="1"/>
                <w:bCs w:val="1"/>
                <w:color w:val="auto"/>
              </w:rPr>
              <w:t>Balance at December 31, 2025</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1,173</w:t>
            </w:r>
          </w:p>
        </w:tc>
        <w:tc>
          <w:tcPr>
            <w:tcW w:w="60" w:type="dxa"/>
            <w:vAlign w:val="bottom"/>
          </w:tcPr>
          <w:p>
            <w:pPr>
              <w:spacing w:after="0"/>
              <w:rPr>
                <w:sz w:val="20"/>
                <w:szCs w:val="20"/>
                <w:color w:val="auto"/>
              </w:rPr>
            </w:pPr>
          </w:p>
        </w:tc>
      </w:tr>
    </w:tbl>
    <w:p>
      <w:pPr>
        <w:spacing w:after="0" w:line="287"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The Company recorded $7.4 million and $3.3 million in revenue earned during the years ended December 31, 2025 and 2024, based on services performed under the Genmab Agreement during the period. Under the Genmab Agreement, the Company will be compensated for agreed research and development services and third party costs through initial clinical proof of concept of the therapeutic candidates, which also represents the period of time both parties have enforceable rights and obligations. As such, the accounting term of the Genmab Agreement is considered to terminate upon completion of the initial clinical proof of concept of the therapeutic candidates, after which Genmab has the option to develop and commercialize up to three therapeutic candidates and the Company has the option to participate in development and commercialization of one candidate. The Genmab Agreement includes optional additional items which will be accounted for as contract modifications after initial clinical proof of concept of the therapeutic candidates. With respect to each candidate for which a party has exercised its program opt-in rights and has exclusive global rights, the other party is eligible to receive potential development and sales-based milestone payments and tiered royalties, subject to certain customary reductions, the amount of all such considerations will vary based on the market potential of the applicable territory for which such party has exercised its program opt-in rights. Under the Genmab Agreement, the Company is eligible to receive total potential milestone payments of up to $125.0 million in development milestones and $160.0 million in sale milestones per therapeutic candidate exclusively developed and commercialized by Genmab, along with tiered royalties at rates from a single-digit to mid-teens percentage based on net sales of each therapeutic candidate. However, given the current phase of development of therapeutic candidates under the Genmab Agreement, the Company cannot estimate the probability or timing of achieving these milestones, and, therefore, has excluded all milestone and royalty payments from the transaction prices of the agreement.</w:t>
      </w:r>
    </w:p>
    <w:p>
      <w:pPr>
        <w:spacing w:after="0" w:line="215"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b w:val="1"/>
          <w:bCs w:val="1"/>
          <w:color w:val="auto"/>
        </w:rPr>
        <w:t>The Company expects its collaboration revenue to vary from period to period and the Company may have periods of little to no activity depending on the development timeline and activities with our collaboration partners. The Company's BDC-4182 ongoing clinical trial is expected to provide insights that may be relevant to its current collaboration with Genmab and as a result, the Company does not expect to perform additional research and development activities until the companies evaluate the impact of the BDC-4182 clinical trial results. The Company remains committed to executing on this agreement and will continue to reassess its revenue recognition estimates as new information becomes available.</w:t>
      </w:r>
    </w:p>
    <w:p>
      <w:pPr>
        <w:sectPr>
          <w:pgSz w:w="12240" w:h="15840" w:orient="portrait"/>
          <w:cols w:equalWidth="0" w:num="1">
            <w:col w:w="9680"/>
          </w:cols>
          <w:pgMar w:left="1260" w:top="1089" w:right="13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97</w:t>
      </w:r>
    </w:p>
    <w:p>
      <w:pPr>
        <w:sectPr>
          <w:pgSz w:w="12240" w:h="15840" w:orient="portrait"/>
          <w:cols w:equalWidth="0" w:num="1">
            <w:col w:w="9680"/>
          </w:cols>
          <w:pgMar w:left="1260" w:top="1089" w:right="1300" w:bottom="181" w:gutter="0" w:footer="0" w:header="0"/>
          <w:type w:val="continuous"/>
        </w:sectPr>
      </w:pPr>
    </w:p>
    <w:bookmarkStart w:id="137" w:name="page138"/>
    <w:bookmarkEnd w:id="137"/>
    <w:p>
      <w:pPr>
        <w:spacing w:after="0"/>
        <w:rPr>
          <w:sz w:val="20"/>
          <w:szCs w:val="20"/>
          <w:color w:val="auto"/>
        </w:rPr>
      </w:pPr>
      <w:r>
        <w:rPr>
          <w:rFonts w:ascii="Arial" w:cs="Arial" w:eastAsia="Arial" w:hAnsi="Arial"/>
          <w:sz w:val="20"/>
          <w:szCs w:val="20"/>
          <w:b w:val="1"/>
          <w:bCs w:val="1"/>
          <w:color w:val="auto"/>
        </w:rPr>
        <w:t>Oncology Research and Development Collaboration with Innovent Biologics, Inc. (“Innovent”)</w:t>
      </w:r>
    </w:p>
    <w:p>
      <w:pPr>
        <w:spacing w:after="0" w:line="23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color w:val="auto"/>
        </w:rPr>
        <w:t>In March 2024, the Company entered into an amended and restated license and collaboration agreement with Innovent Biologics, Inc. (the “Amended Innovent Agreement”), which amended the original license and collaboration agreement with Innovent Biologics, Inc. ("Innovent") dated August 25, 2021 (the “Original Innovent Agreement”). Under the Original Innovent Agreement, the Company and Innovent leveraged Innovent’s proprietary therapeutic antibody portfolio and antibody discovery capability against undisclosed oncology targets in combination with the Company's Boltbody ISAC technology and myeloid biology expertise to create new candidates for cancer treatments. Innovent funded the initial research, along with the preclinical development of these candidates through the contract modification date. Under the Original Innovent Agreement, the Company received an upfront payment of $5.0 million and was compensated for research and development services, including third-party costs and employee utilization.</w:t>
      </w:r>
    </w:p>
    <w:p>
      <w:pPr>
        <w:spacing w:after="0" w:line="205"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b w:val="1"/>
          <w:bCs w:val="1"/>
          <w:color w:val="auto"/>
        </w:rPr>
        <w:t>As part of the Amended Innovent Agreement, Innovent paid the Company a one-time payment of $4.7 million to be relieved from certain future funding and developmental obligations under the Original Innovent Agreement. Additionally, the Company secured exclusive worldwide rights to ISAC programs utilizing specified antibodies against two tumor antigen targets and assumed all future development and commercialization costs for any such ISAC program. Under the Amended Innovent Agreement, the Company has the right, but not the obligation, to further develop and commercialize the ISAC programs. Innovent and its affiliates are eligible to receive total potential milestones payments of up to $112.7 million, as well as royalties in low single digits on global net sales. The Company determined that the Amended Innovent Agreement no longer meets the criteria under ASC 606. Therefore, $2.5 million of deferred revenue allocated to the unsatisfied performance obligation as of the contract modification date, was recognized as revenue and the $4.7 million one-time payment received was recognized as other income on the consolidated statement of operations and comprehensive loss in the first quarter of 2024.</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table presents changes in the Company’s contract liability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285115</wp:posOffset>
            </wp:positionV>
            <wp:extent cx="3724275" cy="8299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724275" cy="82994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194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Arial" w:cs="Arial" w:eastAsia="Arial" w:hAnsi="Arial"/>
                <w:sz w:val="20"/>
                <w:szCs w:val="20"/>
                <w:b w:val="1"/>
                <w:bCs w:val="1"/>
                <w:color w:val="auto"/>
              </w:rPr>
              <w:t>Balance at December 31, 2023</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3,142</w:t>
            </w:r>
          </w:p>
        </w:tc>
      </w:tr>
      <w:tr>
        <w:trPr>
          <w:trHeight w:val="245"/>
        </w:trPr>
        <w:tc>
          <w:tcPr>
            <w:tcW w:w="4560" w:type="dxa"/>
            <w:vAlign w:val="bottom"/>
          </w:tcPr>
          <w:p>
            <w:pPr>
              <w:spacing w:after="0"/>
              <w:rPr>
                <w:sz w:val="20"/>
                <w:szCs w:val="20"/>
                <w:color w:val="auto"/>
              </w:rPr>
            </w:pPr>
            <w:r>
              <w:rPr>
                <w:rFonts w:ascii="Arial" w:cs="Arial" w:eastAsia="Arial" w:hAnsi="Arial"/>
                <w:sz w:val="20"/>
                <w:szCs w:val="20"/>
                <w:b w:val="1"/>
                <w:bCs w:val="1"/>
                <w:color w:val="auto"/>
                <w:w w:val="86"/>
              </w:rPr>
              <w:t>Addition—amount billed for research and development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20"/>
                <w:szCs w:val="20"/>
                <w:b w:val="1"/>
                <w:bCs w:val="1"/>
                <w:color w:val="auto"/>
              </w:rPr>
              <w:t>services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331</w:t>
            </w:r>
          </w:p>
        </w:tc>
      </w:tr>
      <w:tr>
        <w:trPr>
          <w:trHeight w:val="245"/>
        </w:trPr>
        <w:tc>
          <w:tcPr>
            <w:tcW w:w="4560" w:type="dxa"/>
            <w:vAlign w:val="bottom"/>
          </w:tcPr>
          <w:p>
            <w:pPr>
              <w:spacing w:after="0"/>
              <w:rPr>
                <w:sz w:val="20"/>
                <w:szCs w:val="20"/>
                <w:color w:val="auto"/>
              </w:rPr>
            </w:pPr>
            <w:r>
              <w:rPr>
                <w:rFonts w:ascii="Arial" w:cs="Arial" w:eastAsia="Arial" w:hAnsi="Arial"/>
                <w:sz w:val="20"/>
                <w:szCs w:val="20"/>
                <w:b w:val="1"/>
                <w:bCs w:val="1"/>
                <w:color w:val="auto"/>
              </w:rPr>
              <w:t>Revenue recognized</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(3,473)</w:t>
            </w:r>
          </w:p>
        </w:tc>
      </w:tr>
      <w:tr>
        <w:trPr>
          <w:trHeight w:val="238"/>
        </w:trPr>
        <w:tc>
          <w:tcPr>
            <w:tcW w:w="4560" w:type="dxa"/>
            <w:vAlign w:val="bottom"/>
          </w:tcPr>
          <w:p>
            <w:pPr>
              <w:spacing w:after="0"/>
              <w:rPr>
                <w:sz w:val="20"/>
                <w:szCs w:val="20"/>
                <w:color w:val="auto"/>
              </w:rPr>
            </w:pPr>
            <w:r>
              <w:rPr>
                <w:rFonts w:ascii="Arial" w:cs="Arial" w:eastAsia="Arial" w:hAnsi="Arial"/>
                <w:sz w:val="20"/>
                <w:szCs w:val="20"/>
                <w:b w:val="1"/>
                <w:bCs w:val="1"/>
                <w:color w:val="auto"/>
              </w:rPr>
              <w:t>Balance at December 31, 2024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bl>
    <w:p>
      <w:pPr>
        <w:spacing w:after="0" w:line="200" w:lineRule="exact"/>
        <w:rPr>
          <w:sz w:val="20"/>
          <w:szCs w:val="20"/>
          <w:color w:val="auto"/>
        </w:rPr>
      </w:pPr>
    </w:p>
    <w:p>
      <w:pPr>
        <w:spacing w:after="0" w:line="368" w:lineRule="exact"/>
        <w:rPr>
          <w:sz w:val="20"/>
          <w:szCs w:val="20"/>
          <w:color w:val="auto"/>
        </w:rPr>
      </w:pPr>
    </w:p>
    <w:p>
      <w:pPr>
        <w:spacing w:after="0" w:line="297" w:lineRule="auto"/>
        <w:rPr>
          <w:sz w:val="20"/>
          <w:szCs w:val="20"/>
          <w:color w:val="auto"/>
        </w:rPr>
      </w:pPr>
      <w:r>
        <w:rPr>
          <w:rFonts w:ascii="Arial" w:cs="Arial" w:eastAsia="Arial" w:hAnsi="Arial"/>
          <w:sz w:val="17"/>
          <w:szCs w:val="17"/>
          <w:b w:val="1"/>
          <w:bCs w:val="1"/>
          <w:color w:val="auto"/>
        </w:rPr>
        <w:t>The Company had no contract liability balance as of December 31, 2025 and 2024, respectively. The Company had zero and $3.4 million revenue earned during the years ended December 31, 2025 and 2024, respectively, based on services performed to satisfy the performance obligation under the Innovent collaboration during the periods.</w:t>
      </w:r>
    </w:p>
    <w:p>
      <w:pPr>
        <w:sectPr>
          <w:pgSz w:w="12240" w:h="15840" w:orient="portrait"/>
          <w:cols w:equalWidth="0" w:num="1">
            <w:col w:w="9680"/>
          </w:cols>
          <w:pgMar w:left="1260" w:top="1079" w:right="130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98</w:t>
      </w:r>
    </w:p>
    <w:p>
      <w:pPr>
        <w:sectPr>
          <w:pgSz w:w="12240" w:h="15840" w:orient="portrait"/>
          <w:cols w:equalWidth="0" w:num="1">
            <w:col w:w="9680"/>
          </w:cols>
          <w:pgMar w:left="1260" w:top="1079" w:right="1300" w:bottom="181" w:gutter="0" w:footer="0" w:header="0"/>
          <w:type w:val="continuous"/>
        </w:sectPr>
      </w:pPr>
    </w:p>
    <w:bookmarkStart w:id="138" w:name="page139"/>
    <w:bookmarkEnd w:id="138"/>
    <w:p>
      <w:pPr>
        <w:ind w:right="6660" w:firstLine="2"/>
        <w:spacing w:after="0" w:line="354" w:lineRule="auto"/>
        <w:tabs>
          <w:tab w:leader="none" w:pos="199"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 Leases</w:t>
      </w:r>
    </w:p>
    <w:p>
      <w:pPr>
        <w:spacing w:after="0" w:line="20"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b w:val="1"/>
          <w:bCs w:val="1"/>
          <w:color w:val="auto"/>
        </w:rPr>
        <w:t>The Company has operating leases for its corporate office, laboratory and vivarium space in Redwood City, California. On August 7, 2020, the Company executed a non-cancellable lease agreement for 71,646 square feet of space (the “Chesapeake Master Lease”), which consist of 25,956 square feet under an existing lease and 45,690 square feet of additional space, for its corporate office, laboratory and vivarium space in Redwood City, California. The Chesapeake Master Lease has an initial term of ten years from the commencement date, with an option to extend the lease for an additional eight-year term. The Chesapeake Master Lease contains rent escalation, and the Company is also responsible for certain operating expenses and taxes throughout the lease term.</w:t>
      </w:r>
    </w:p>
    <w:p>
      <w:pPr>
        <w:spacing w:after="0" w:line="94"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b w:val="1"/>
          <w:bCs w:val="1"/>
          <w:color w:val="auto"/>
        </w:rPr>
        <w:t>In addition, the Company is entitled to up to $4.8 million of tenant improvement allowance, which was paid directly by the landlord to various vendors. Upon execution of the non-cancellable lease agreement, the Company took control of 10,000 square feet of space. The remaining 35,690 square feet of additional office, laboratory and vivarium space commenced in June 2021.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Sublease Arrangements</w:t>
      </w:r>
    </w:p>
    <w:p>
      <w:pPr>
        <w:spacing w:after="0" w:line="24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color w:val="auto"/>
        </w:rPr>
        <w:t>A sublease agreement to sublease 10,500 square feet commenced in June 2021 and amended in August 2022 to expand the subleased premises to 11,655 square feet in the first year and further increase to 13,743 square feet in the second year. In addition, the expiration date of the second sublease was also amended to the expiration date of the Chesapeake Master Lease. The sublease has an early termination option under which both the Company and the sublessee have the right to terminate the sublease prior to the expiration date by providing at least fifteen months written notice to the other party. The subtenant does not have an option to extend the sublease term. Rent for this sublease is subject to scheduled annual increases and the subtenant is responsible for certain operating expenses and taxes throughout the term under the sublease agreement.</w:t>
      </w:r>
    </w:p>
    <w:p>
      <w:pPr>
        <w:spacing w:after="0" w:line="2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color w:val="auto"/>
        </w:rPr>
        <w:t>On March 10, 2025, the Company entered into another sublease agreement under its Chesapeake Master Lease to sublease 11,773 square feet. The Company’s sublease term expires thirty-six months from the commencement date, with options for renewal. The sublessee has a one-time right to terminate the sublease agreement no earlier than twenty-four months after the commencement date by providing at least nine months written notice to the other party. The subtenant is responsible for certain operating expenses and taxes throughout the term under the sublease agreement. On August 4, 2025, the Company entered into an amendment to this sublease agreement to increase the subtenant's sublease square feet to 11,975 and to increase the subtenant's base rent for the premises. All other terms in the agreement remained the same.</w:t>
      </w:r>
    </w:p>
    <w:p>
      <w:pPr>
        <w:spacing w:after="0" w:line="232" w:lineRule="exact"/>
        <w:rPr>
          <w:sz w:val="20"/>
          <w:szCs w:val="20"/>
          <w:color w:val="auto"/>
        </w:rPr>
      </w:pPr>
    </w:p>
    <w:p>
      <w:pPr>
        <w:ind w:right="380"/>
        <w:spacing w:after="0" w:line="234" w:lineRule="auto"/>
        <w:rPr>
          <w:sz w:val="20"/>
          <w:szCs w:val="20"/>
          <w:color w:val="auto"/>
        </w:rPr>
      </w:pPr>
      <w:r>
        <w:rPr>
          <w:rFonts w:ascii="Arial" w:cs="Arial" w:eastAsia="Arial" w:hAnsi="Arial"/>
          <w:sz w:val="20"/>
          <w:szCs w:val="20"/>
          <w:b w:val="1"/>
          <w:bCs w:val="1"/>
          <w:color w:val="auto"/>
        </w:rPr>
        <w:t>Sublease income from both agreements was approximately $1.4 million and $0.8 million for each of the years ended December 31, 2025 and 2024.</w:t>
      </w:r>
    </w:p>
    <w:p>
      <w:pPr>
        <w:spacing w:after="0" w:line="250" w:lineRule="exact"/>
        <w:rPr>
          <w:sz w:val="20"/>
          <w:szCs w:val="20"/>
          <w:color w:val="auto"/>
        </w:rPr>
      </w:pPr>
    </w:p>
    <w:p>
      <w:pPr>
        <w:spacing w:after="0" w:line="234" w:lineRule="auto"/>
        <w:rPr>
          <w:sz w:val="20"/>
          <w:szCs w:val="20"/>
          <w:color w:val="auto"/>
        </w:rPr>
      </w:pPr>
      <w:r>
        <w:rPr>
          <w:rFonts w:ascii="Arial" w:cs="Arial" w:eastAsia="Arial" w:hAnsi="Arial"/>
          <w:sz w:val="20"/>
          <w:szCs w:val="20"/>
          <w:b w:val="1"/>
          <w:bCs w:val="1"/>
          <w:color w:val="auto"/>
        </w:rPr>
        <w:t>Finance right-of-use leases used to finance capital equipment, such as printers or ozone generators, were immaterial as of December 31, 2025 and 2024,</w:t>
      </w:r>
    </w:p>
    <w:p>
      <w:pPr>
        <w:spacing w:after="0" w:line="252"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b w:val="1"/>
          <w:bCs w:val="1"/>
          <w:color w:val="auto"/>
        </w:rPr>
        <w:t>The weighted-average remaining lease term and discount rate related to the Company’s lease liabilities as of December 31, 2025 were 5.4 years and 11.9%, respectively, for the operating leases. The weighted-average remaining lease term and discount rate related to the Company’s lease liabilities as of December 31, 2024 were 6.4 years and</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b w:val="1"/>
          <w:bCs w:val="1"/>
          <w:color w:val="auto"/>
        </w:rPr>
        <w:t>11.9%, respectively, for the operating leases. The Company lease discount rates are based on estimates of its incremental borrowing rate, as the discount rates implicit in the Company’s leases cannot be readily determined. As the Company does not have any outstanding debt, the Company estimates the incremental borrowing rate based on its estimated credit rating and available market information.</w:t>
      </w:r>
    </w:p>
    <w:p>
      <w:pPr>
        <w:spacing w:after="0" w:line="242" w:lineRule="exact"/>
        <w:rPr>
          <w:sz w:val="20"/>
          <w:szCs w:val="20"/>
          <w:color w:val="auto"/>
        </w:rPr>
      </w:pPr>
    </w:p>
    <w:p>
      <w:pPr>
        <w:jc w:val="both"/>
        <w:ind w:right="140"/>
        <w:spacing w:after="0" w:line="236" w:lineRule="auto"/>
        <w:rPr>
          <w:sz w:val="20"/>
          <w:szCs w:val="20"/>
          <w:color w:val="auto"/>
        </w:rPr>
      </w:pPr>
      <w:r>
        <w:rPr>
          <w:rFonts w:ascii="Arial" w:cs="Arial" w:eastAsia="Arial" w:hAnsi="Arial"/>
          <w:sz w:val="20"/>
          <w:szCs w:val="20"/>
          <w:b w:val="1"/>
          <w:bCs w:val="1"/>
          <w:color w:val="auto"/>
        </w:rPr>
        <w:t>Cash required as security for our operating leases is secured by a letter of credit on behalf of the lessor in the amount of approximately $1.5 million and $1.6 million and is recorded as restricted cash on the balance sheet as of December 31, 2025 and 2024, respectively.</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99</w:t>
      </w:r>
    </w:p>
    <w:p>
      <w:pPr>
        <w:sectPr>
          <w:pgSz w:w="12240" w:h="15840" w:orient="portrait"/>
          <w:cols w:equalWidth="0" w:num="1">
            <w:col w:w="9700"/>
          </w:cols>
          <w:pgMar w:left="1260" w:top="1089" w:right="1280" w:bottom="181" w:gutter="0" w:footer="0" w:header="0"/>
          <w:type w:val="continuous"/>
        </w:sectPr>
      </w:pPr>
    </w:p>
    <w:bookmarkStart w:id="139" w:name="page140"/>
    <w:bookmarkEnd w:id="139"/>
    <w:p>
      <w:pPr>
        <w:spacing w:after="0"/>
        <w:rPr>
          <w:sz w:val="20"/>
          <w:szCs w:val="20"/>
          <w:color w:val="auto"/>
        </w:rPr>
      </w:pPr>
      <w:r>
        <w:rPr>
          <w:rFonts w:ascii="Arial" w:cs="Arial" w:eastAsia="Arial" w:hAnsi="Arial"/>
          <w:sz w:val="20"/>
          <w:szCs w:val="20"/>
          <w:b w:val="1"/>
          <w:bCs w:val="1"/>
          <w:color w:val="auto"/>
        </w:rPr>
        <w:t>The components of lease expense were as follows (in thousands):</w:t>
      </w:r>
    </w:p>
    <w:p>
      <w:pPr>
        <w:spacing w:after="0" w:line="290"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6"/>
                <w:szCs w:val="16"/>
                <w:b w:val="1"/>
                <w:bCs w:val="1"/>
                <w:color w:val="auto"/>
                <w:w w:val="91"/>
              </w:rPr>
              <w:t>Years Ended December 31,</w:t>
            </w:r>
          </w:p>
        </w:tc>
      </w:tr>
      <w:tr>
        <w:trPr>
          <w:trHeight w:val="194"/>
        </w:trPr>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6"/>
                <w:szCs w:val="16"/>
                <w:b w:val="1"/>
                <w:bCs w:val="1"/>
                <w:color w:val="auto"/>
              </w:rPr>
              <w:t>2024</w:t>
            </w:r>
          </w:p>
        </w:tc>
      </w:tr>
      <w:tr>
        <w:trPr>
          <w:trHeight w:val="238"/>
        </w:trPr>
        <w:tc>
          <w:tcPr>
            <w:tcW w:w="4540" w:type="dxa"/>
            <w:vAlign w:val="bottom"/>
          </w:tcPr>
          <w:p>
            <w:pPr>
              <w:spacing w:after="0"/>
              <w:rPr>
                <w:sz w:val="20"/>
                <w:szCs w:val="20"/>
                <w:color w:val="auto"/>
              </w:rPr>
            </w:pPr>
            <w:r>
              <w:rPr>
                <w:rFonts w:ascii="Arial" w:cs="Arial" w:eastAsia="Arial" w:hAnsi="Arial"/>
                <w:sz w:val="20"/>
                <w:szCs w:val="20"/>
                <w:b w:val="1"/>
                <w:bCs w:val="1"/>
                <w:color w:val="auto"/>
              </w:rPr>
              <w:t>Total operating lease cost</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4,005</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4,922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-311785</wp:posOffset>
            </wp:positionV>
            <wp:extent cx="4339590" cy="37668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39590" cy="3766820"/>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cash flow information related to leases was as follows (in thousands):</w:t>
      </w:r>
    </w:p>
    <w:p>
      <w:pPr>
        <w:spacing w:after="0" w:line="290"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6"/>
                <w:szCs w:val="16"/>
                <w:b w:val="1"/>
                <w:bCs w:val="1"/>
                <w:color w:val="auto"/>
                <w:w w:val="91"/>
              </w:rPr>
              <w:t>Years Ended December 31,</w:t>
            </w:r>
          </w:p>
        </w:tc>
      </w:tr>
      <w:tr>
        <w:trPr>
          <w:trHeight w:val="193"/>
        </w:trPr>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6"/>
                <w:szCs w:val="16"/>
                <w:b w:val="1"/>
                <w:bCs w:val="1"/>
                <w:color w:val="auto"/>
              </w:rPr>
              <w:t>2024</w:t>
            </w:r>
          </w:p>
        </w:tc>
      </w:tr>
      <w:tr>
        <w:trPr>
          <w:trHeight w:val="239"/>
        </w:trPr>
        <w:tc>
          <w:tcPr>
            <w:tcW w:w="4540" w:type="dxa"/>
            <w:vAlign w:val="bottom"/>
          </w:tcPr>
          <w:p>
            <w:pPr>
              <w:spacing w:after="0"/>
              <w:rPr>
                <w:sz w:val="20"/>
                <w:szCs w:val="20"/>
                <w:color w:val="auto"/>
              </w:rPr>
            </w:pPr>
            <w:r>
              <w:rPr>
                <w:rFonts w:ascii="Arial" w:cs="Arial" w:eastAsia="Arial" w:hAnsi="Arial"/>
                <w:sz w:val="20"/>
                <w:szCs w:val="20"/>
                <w:b w:val="1"/>
                <w:bCs w:val="1"/>
                <w:color w:val="auto"/>
              </w:rPr>
              <w:t>Operating cash flows from operating leases</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5,122</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4,886</w:t>
            </w:r>
          </w:p>
        </w:tc>
      </w:tr>
    </w:tbl>
    <w:p>
      <w:pPr>
        <w:spacing w:after="0" w:line="330" w:lineRule="exact"/>
        <w:rPr>
          <w:sz w:val="20"/>
          <w:szCs w:val="20"/>
          <w:color w:val="auto"/>
        </w:rPr>
      </w:pPr>
    </w:p>
    <w:p>
      <w:pPr>
        <w:ind w:right="580"/>
        <w:spacing w:after="0" w:line="234" w:lineRule="auto"/>
        <w:rPr>
          <w:sz w:val="20"/>
          <w:szCs w:val="20"/>
          <w:color w:val="auto"/>
        </w:rPr>
      </w:pPr>
      <w:r>
        <w:rPr>
          <w:rFonts w:ascii="Arial" w:cs="Arial" w:eastAsia="Arial" w:hAnsi="Arial"/>
          <w:sz w:val="20"/>
          <w:szCs w:val="20"/>
          <w:b w:val="1"/>
          <w:bCs w:val="1"/>
          <w:color w:val="auto"/>
        </w:rPr>
        <w:t>The following is a schedule by year for future maturities of the Company’s operating lease liabilities and sublease income to be received as of December 31, 2025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24"/>
              <w:spacing w:after="0"/>
              <w:rPr>
                <w:sz w:val="20"/>
                <w:szCs w:val="20"/>
                <w:color w:val="auto"/>
              </w:rPr>
            </w:pPr>
            <w:r>
              <w:rPr>
                <w:rFonts w:ascii="Arial" w:cs="Arial" w:eastAsia="Arial" w:hAnsi="Arial"/>
                <w:sz w:val="16"/>
                <w:szCs w:val="16"/>
                <w:b w:val="1"/>
                <w:bCs w:val="1"/>
                <w:color w:val="auto"/>
                <w:w w:val="95"/>
              </w:rPr>
              <w:t>Operating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24"/>
              <w:spacing w:after="0"/>
              <w:rPr>
                <w:sz w:val="20"/>
                <w:szCs w:val="20"/>
                <w:color w:val="auto"/>
              </w:rPr>
            </w:pPr>
            <w:r>
              <w:rPr>
                <w:rFonts w:ascii="Arial" w:cs="Arial" w:eastAsia="Arial" w:hAnsi="Arial"/>
                <w:sz w:val="16"/>
                <w:szCs w:val="16"/>
                <w:b w:val="1"/>
                <w:bCs w:val="1"/>
                <w:color w:val="auto"/>
                <w:w w:val="88"/>
              </w:rPr>
              <w:t>Sublease</w:t>
            </w:r>
          </w:p>
        </w:tc>
      </w:tr>
      <w:tr>
        <w:trPr>
          <w:trHeight w:val="183"/>
        </w:trPr>
        <w:tc>
          <w:tcPr>
            <w:tcW w:w="4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4"/>
              <w:spacing w:after="0" w:line="182" w:lineRule="exact"/>
              <w:rPr>
                <w:sz w:val="20"/>
                <w:szCs w:val="20"/>
                <w:color w:val="auto"/>
              </w:rPr>
            </w:pPr>
            <w:r>
              <w:rPr>
                <w:rFonts w:ascii="Arial" w:cs="Arial" w:eastAsia="Arial" w:hAnsi="Arial"/>
                <w:sz w:val="16"/>
                <w:szCs w:val="16"/>
                <w:b w:val="1"/>
                <w:bCs w:val="1"/>
                <w:color w:val="auto"/>
              </w:rPr>
              <w:t>Leases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64"/>
              <w:spacing w:after="0" w:line="182" w:lineRule="exact"/>
              <w:rPr>
                <w:sz w:val="20"/>
                <w:szCs w:val="20"/>
                <w:color w:val="auto"/>
              </w:rPr>
            </w:pPr>
            <w:r>
              <w:rPr>
                <w:rFonts w:ascii="Arial" w:cs="Arial" w:eastAsia="Arial" w:hAnsi="Arial"/>
                <w:sz w:val="16"/>
                <w:szCs w:val="16"/>
                <w:b w:val="1"/>
                <w:bCs w:val="1"/>
                <w:color w:val="auto"/>
              </w:rPr>
              <w:t>Income</w:t>
            </w:r>
          </w:p>
        </w:tc>
      </w:tr>
      <w:tr>
        <w:trPr>
          <w:trHeight w:val="239"/>
        </w:trPr>
        <w:tc>
          <w:tcPr>
            <w:tcW w:w="4520" w:type="dxa"/>
            <w:vAlign w:val="bottom"/>
          </w:tcPr>
          <w:p>
            <w:pPr>
              <w:spacing w:after="0"/>
              <w:rPr>
                <w:sz w:val="20"/>
                <w:szCs w:val="20"/>
                <w:color w:val="auto"/>
              </w:rPr>
            </w:pPr>
            <w:r>
              <w:rPr>
                <w:rFonts w:ascii="Arial" w:cs="Arial" w:eastAsia="Arial" w:hAnsi="Arial"/>
                <w:sz w:val="20"/>
                <w:szCs w:val="20"/>
                <w:b w:val="1"/>
                <w:bCs w:val="1"/>
                <w:color w:val="auto"/>
              </w:rPr>
              <w:t>2026</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5,399</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1,500</w:t>
            </w:r>
          </w:p>
        </w:tc>
      </w:tr>
      <w:tr>
        <w:trPr>
          <w:trHeight w:val="242"/>
        </w:trPr>
        <w:tc>
          <w:tcPr>
            <w:tcW w:w="4520" w:type="dxa"/>
            <w:vAlign w:val="bottom"/>
          </w:tcPr>
          <w:p>
            <w:pPr>
              <w:spacing w:after="0"/>
              <w:rPr>
                <w:sz w:val="20"/>
                <w:szCs w:val="20"/>
                <w:color w:val="auto"/>
              </w:rPr>
            </w:pPr>
            <w:r>
              <w:rPr>
                <w:rFonts w:ascii="Arial" w:cs="Arial" w:eastAsia="Arial" w:hAnsi="Arial"/>
                <w:sz w:val="20"/>
                <w:szCs w:val="20"/>
                <w:b w:val="1"/>
                <w:bCs w:val="1"/>
                <w:color w:val="auto"/>
              </w:rPr>
              <w:t>2027</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5,584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338</w:t>
            </w:r>
          </w:p>
        </w:tc>
      </w:tr>
      <w:tr>
        <w:trPr>
          <w:trHeight w:val="245"/>
        </w:trPr>
        <w:tc>
          <w:tcPr>
            <w:tcW w:w="4520" w:type="dxa"/>
            <w:vAlign w:val="bottom"/>
          </w:tcPr>
          <w:p>
            <w:pPr>
              <w:spacing w:after="0"/>
              <w:rPr>
                <w:sz w:val="20"/>
                <w:szCs w:val="20"/>
                <w:color w:val="auto"/>
              </w:rPr>
            </w:pPr>
            <w:r>
              <w:rPr>
                <w:rFonts w:ascii="Arial" w:cs="Arial" w:eastAsia="Arial" w:hAnsi="Arial"/>
                <w:sz w:val="20"/>
                <w:szCs w:val="20"/>
                <w:b w:val="1"/>
                <w:bCs w:val="1"/>
                <w:color w:val="auto"/>
              </w:rPr>
              <w:t>2028</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5,775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45"/>
        </w:trPr>
        <w:tc>
          <w:tcPr>
            <w:tcW w:w="4520" w:type="dxa"/>
            <w:vAlign w:val="bottom"/>
          </w:tcPr>
          <w:p>
            <w:pPr>
              <w:spacing w:after="0"/>
              <w:rPr>
                <w:sz w:val="20"/>
                <w:szCs w:val="20"/>
                <w:color w:val="auto"/>
              </w:rPr>
            </w:pPr>
            <w:r>
              <w:rPr>
                <w:rFonts w:ascii="Arial" w:cs="Arial" w:eastAsia="Arial" w:hAnsi="Arial"/>
                <w:sz w:val="20"/>
                <w:szCs w:val="20"/>
                <w:b w:val="1"/>
                <w:bCs w:val="1"/>
                <w:color w:val="auto"/>
              </w:rPr>
              <w:t>2029</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5,974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42"/>
        </w:trPr>
        <w:tc>
          <w:tcPr>
            <w:tcW w:w="4520" w:type="dxa"/>
            <w:vAlign w:val="bottom"/>
          </w:tcPr>
          <w:p>
            <w:pPr>
              <w:spacing w:after="0"/>
              <w:rPr>
                <w:sz w:val="20"/>
                <w:szCs w:val="20"/>
                <w:color w:val="auto"/>
              </w:rPr>
            </w:pPr>
            <w:r>
              <w:rPr>
                <w:rFonts w:ascii="Arial" w:cs="Arial" w:eastAsia="Arial" w:hAnsi="Arial"/>
                <w:sz w:val="20"/>
                <w:szCs w:val="20"/>
                <w:b w:val="1"/>
                <w:bCs w:val="1"/>
                <w:color w:val="auto"/>
              </w:rPr>
              <w:t>2030</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6,179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45"/>
        </w:trPr>
        <w:tc>
          <w:tcPr>
            <w:tcW w:w="4520" w:type="dxa"/>
            <w:vAlign w:val="bottom"/>
          </w:tcPr>
          <w:p>
            <w:pPr>
              <w:spacing w:after="0"/>
              <w:rPr>
                <w:sz w:val="20"/>
                <w:szCs w:val="20"/>
                <w:color w:val="auto"/>
              </w:rPr>
            </w:pPr>
            <w:r>
              <w:rPr>
                <w:rFonts w:ascii="Arial" w:cs="Arial" w:eastAsia="Arial" w:hAnsi="Arial"/>
                <w:sz w:val="20"/>
                <w:szCs w:val="20"/>
                <w:b w:val="1"/>
                <w:bCs w:val="1"/>
                <w:color w:val="auto"/>
              </w:rPr>
              <w:t>Thereafter</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2,610</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r>
      <w:tr>
        <w:trPr>
          <w:trHeight w:val="239"/>
        </w:trPr>
        <w:tc>
          <w:tcPr>
            <w:tcW w:w="4520" w:type="dxa"/>
            <w:vAlign w:val="bottom"/>
          </w:tcPr>
          <w:p>
            <w:pPr>
              <w:spacing w:after="0"/>
              <w:rPr>
                <w:sz w:val="20"/>
                <w:szCs w:val="20"/>
                <w:color w:val="auto"/>
              </w:rPr>
            </w:pPr>
            <w:r>
              <w:rPr>
                <w:rFonts w:ascii="Arial" w:cs="Arial" w:eastAsia="Arial" w:hAnsi="Arial"/>
                <w:sz w:val="20"/>
                <w:szCs w:val="20"/>
                <w:b w:val="1"/>
                <w:bCs w:val="1"/>
                <w:color w:val="auto"/>
              </w:rPr>
              <w:t>Total lease payments</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31,521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1,838</w:t>
            </w:r>
          </w:p>
        </w:tc>
      </w:tr>
      <w:tr>
        <w:trPr>
          <w:trHeight w:val="245"/>
        </w:trPr>
        <w:tc>
          <w:tcPr>
            <w:tcW w:w="4520" w:type="dxa"/>
            <w:vAlign w:val="bottom"/>
          </w:tcPr>
          <w:p>
            <w:pPr>
              <w:spacing w:after="0"/>
              <w:rPr>
                <w:sz w:val="20"/>
                <w:szCs w:val="20"/>
                <w:color w:val="auto"/>
              </w:rPr>
            </w:pPr>
            <w:r>
              <w:rPr>
                <w:rFonts w:ascii="Arial" w:cs="Arial" w:eastAsia="Arial" w:hAnsi="Arial"/>
                <w:sz w:val="20"/>
                <w:szCs w:val="20"/>
                <w:b w:val="1"/>
                <w:bCs w:val="1"/>
                <w:color w:val="auto"/>
              </w:rPr>
              <w:t>Less interest</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(8,563)</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r>
      <w:tr>
        <w:trPr>
          <w:trHeight w:val="239"/>
        </w:trPr>
        <w:tc>
          <w:tcPr>
            <w:tcW w:w="452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22,958</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1,838</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 Impairment</w:t>
      </w:r>
    </w:p>
    <w:p>
      <w:pPr>
        <w:spacing w:after="0" w:line="13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In June 2024, the Company conducted an impairment assessment following its May 2024 announcement and restructuring plan. As part of this evaluation, the Company assessed whether these events constituted a triggering event that could impact the carrying value of its long-lived assets. The Company concluded that a triggering event had occurred but determined that no impairment charge was necessary.</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In December 2024, the Company both abandoned a portion of its Chesapeake Master Lease and initiated efforts to sublease this space, which indicated the carrying amount may not be recoverable and constituted a triggering event under ASC 360 for this asset group. In performing the impairment assessment, the Company utilized the income approach using a discounted cash flow methodology to estimate fair values of its right-of-use assets.</w:t>
      </w:r>
    </w:p>
    <w:p>
      <w:pPr>
        <w:spacing w:after="0" w:line="107"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color w:val="auto"/>
        </w:rPr>
        <w:t>The carrying value of the asset grouping was compared to its estimated fair value. The analysis measured the undiscounted cash flows over the remaining lease term, by utilizing key market based assumptions such as rent, lease terms, commissions and fees, and a discount rate. It also considered current market lease rates and applied a discount rate of 8.0%. These represented Level 3 nonrecurring fair value measurements. Based on these analyses, the Company recognized pre-tax long-lived asset impairment charges of $1.5 million on the right-of-use assets, disclosed as a separate line item on the consolidated income statement, during the year ended December 31, 2024.</w:t>
      </w:r>
    </w:p>
    <w:p>
      <w:pPr>
        <w:spacing w:after="0" w:line="93"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In December 2025, the Company conducted an impairment assessment following its October 2025 announcement and restructuring plan. As part of this evaluation, the Company assessed whether this event constituted a triggering event that could impact the carrying value of its long-lived assets. The Company concluded that a triggering event had occurred but determined that no impairment charge was necessary.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License and Equity Agreement</w:t>
      </w:r>
    </w:p>
    <w:p>
      <w:pPr>
        <w:spacing w:after="0" w:line="131" w:lineRule="exact"/>
        <w:rPr>
          <w:sz w:val="20"/>
          <w:szCs w:val="20"/>
          <w:color w:val="auto"/>
        </w:rPr>
      </w:pPr>
    </w:p>
    <w:p>
      <w:pPr>
        <w:ind w:right="100"/>
        <w:spacing w:after="0" w:line="333" w:lineRule="auto"/>
        <w:rPr>
          <w:sz w:val="20"/>
          <w:szCs w:val="20"/>
          <w:color w:val="auto"/>
        </w:rPr>
      </w:pPr>
      <w:r>
        <w:rPr>
          <w:rFonts w:ascii="Arial" w:cs="Arial" w:eastAsia="Arial" w:hAnsi="Arial"/>
          <w:sz w:val="15"/>
          <w:szCs w:val="15"/>
          <w:b w:val="1"/>
          <w:bCs w:val="1"/>
          <w:color w:val="auto"/>
        </w:rPr>
        <w:t>In May 2015, the Company entered into a license agreement (as amended, the “Stanford Agreement”), with The Board of Trustees of the Leland Stanford Junior University (“Stanford”). The Stanford Agreement provides the Company exclusive licenses to certain inventions. As consideration, the Company issued Stanford shares of its common stock and a limited right to purchase equity in future financing. Dr. Edgar G. Engleman, a founder and member of the board of directors of the Company, who is a professor at Stanford, was issued shares of common stock as part of the Company’s Series A financing in September 2016. As a result of Dr. Engleman’s board service and affiliation with Stanford,</w:t>
      </w:r>
    </w:p>
    <w:p>
      <w:pPr>
        <w:sectPr>
          <w:pgSz w:w="12240" w:h="15840" w:orient="portrait"/>
          <w:cols w:equalWidth="0" w:num="1">
            <w:col w:w="9700"/>
          </w:cols>
          <w:pgMar w:left="1260" w:top="1079" w:right="1280" w:bottom="181"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100</w:t>
      </w:r>
    </w:p>
    <w:p>
      <w:pPr>
        <w:sectPr>
          <w:pgSz w:w="12240" w:h="15840" w:orient="portrait"/>
          <w:cols w:equalWidth="0" w:num="1">
            <w:col w:w="9700"/>
          </w:cols>
          <w:pgMar w:left="1260" w:top="1079" w:right="1280" w:bottom="181" w:gutter="0" w:footer="0" w:header="0"/>
          <w:type w:val="continuous"/>
        </w:sectPr>
      </w:pPr>
    </w:p>
    <w:bookmarkStart w:id="140" w:name="page141"/>
    <w:bookmarkEnd w:id="140"/>
    <w:p>
      <w:pPr>
        <w:spacing w:after="0" w:line="285" w:lineRule="auto"/>
        <w:rPr>
          <w:sz w:val="20"/>
          <w:szCs w:val="20"/>
          <w:color w:val="auto"/>
        </w:rPr>
      </w:pPr>
      <w:r>
        <w:rPr>
          <w:rFonts w:ascii="Arial" w:cs="Arial" w:eastAsia="Arial" w:hAnsi="Arial"/>
          <w:sz w:val="17"/>
          <w:szCs w:val="17"/>
          <w:b w:val="1"/>
          <w:bCs w:val="1"/>
          <w:color w:val="auto"/>
        </w:rPr>
        <w:t>Stanford and Dr. Engleman were previously considered related parties. Additionally, the Company is required by the Stanford Agreement to make milestone payments up to an aggregate of $0.4 million for the first licensed product that meets certain patent issuance, clinical and regulatory milestones, and an additional milestone payment of $0.2 million for each additional regulatory approval. The Company also agreed in the Stanford Agreement to pay Stanford tiered royalties on the Company’s and its sublicensees’ net sales of licensed products, if any, at low single-digit percentage rates, subject to certain reductions. Dr. Engleman is entitled to receive a share of any royalties that the Company pays to Stanford under the Stanford Agreement with respect to the covered intellectual property. In May 2024, Dr. Engleman resigned from the board of directors of the Company. As a result, Stanford and Dr. Engleman are no longer considered related parties as of the date of his resignation. No royalty payments have been made to date.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Guarantees and Indemnifications</w:t>
      </w:r>
    </w:p>
    <w:p>
      <w:pPr>
        <w:spacing w:after="0" w:line="131"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b w:val="1"/>
          <w:bCs w:val="1"/>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December 31, 2025, the Company did not have any material indemnification claims that were probable or reasonably possible and consequently had not recorded related liabilities.</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Commitments</w:t>
      </w:r>
    </w:p>
    <w:p>
      <w:pPr>
        <w:spacing w:after="0" w:line="131" w:lineRule="exact"/>
        <w:rPr>
          <w:sz w:val="20"/>
          <w:szCs w:val="20"/>
          <w:color w:val="auto"/>
        </w:rPr>
      </w:pPr>
    </w:p>
    <w:p>
      <w:pPr>
        <w:spacing w:after="0" w:line="296" w:lineRule="auto"/>
        <w:rPr>
          <w:sz w:val="20"/>
          <w:szCs w:val="20"/>
          <w:color w:val="auto"/>
        </w:rPr>
      </w:pPr>
      <w:r>
        <w:rPr>
          <w:rFonts w:ascii="Arial" w:cs="Arial" w:eastAsia="Arial" w:hAnsi="Arial"/>
          <w:sz w:val="17"/>
          <w:szCs w:val="17"/>
          <w:b w:val="1"/>
          <w:bCs w:val="1"/>
          <w:color w:val="auto"/>
        </w:rPr>
        <w:t>The Company enters into agreements in the normal course of business, including with contract research organizations for clinical trials, contract manufacturing organizations for certain manufacturing services, and vendors for preclinical studies and other services and products for operating purposes, which are generally cancelable upon written notice.</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131"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b w:val="1"/>
          <w:bCs w:val="1"/>
          <w:color w:val="auto"/>
        </w:rPr>
        <w:t>From time to time, we might be subject to various legal proceedings relating to claims arising out of our operations. The outcome of litigation is inherently uncertain. If one or more legal matters were resolved against us in a reporting period for amounts above management’s expectations, our business, results of operations, financial position and cash flows for that reporting period could be materially adversely affected. We are not currently involved in any material legal proceedings, the ultimate disposition of which could have a material adverse effect on our operations, financial condition or cash flows.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Class Action</w:t>
      </w:r>
    </w:p>
    <w:p>
      <w:pPr>
        <w:spacing w:after="0" w:line="131"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b w:val="1"/>
          <w:bCs w:val="1"/>
          <w:color w:val="auto"/>
        </w:rPr>
        <w:t>On July 2, 2024, a securities class action complaint was filed against the Company and certain of its directors and executive officers (collectively, the "Defendants") in the United States District Court for the Northern District of California, captioned Nesterenko v. Bolt Biotherapeutics, Inc. et al., Case No. 3:24-cv-03985, purportedly on behalf of a class of individuals who purchased or otherwise acquired the Company’s common stock between February 5, 2021 and May 14, 2024. The complaint alleged that Defendants made false and/or misleading statements in violation of Sections 10(b) and 20(a) of the Securities Exchange Act of 1934, as amended. The complaint sought unspecified monetary damages and other relief. On October 3, 2024, the court appointed a lead plaintiff, appointed lead plaintiff's counsel, and ordered the parties to submit a proposed briefing schedule for the filing of an amended complaint and the Company’s response thereto, which the parties submitted on October 23, 2024. On January 17, 2025, the lead plaintiff voluntarily dismissed the case, bringing the legal proceedings to a close.</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Restructuring</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May 2024 Restructuring</w:t>
      </w:r>
    </w:p>
    <w:p>
      <w:pPr>
        <w:spacing w:after="0" w:line="131"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b w:val="1"/>
          <w:bCs w:val="1"/>
          <w:color w:val="auto"/>
        </w:rPr>
        <w:t>On May 14, 2024, the Company announced a strategic pipeline prioritization and restructuring plan pursuant to which it reduced overall operating expenses and discontinued developing trastuzumab imbotolimod in order to focus on the Company’s Phase 1 asset, BDC-3042, a dectin-2 agonist antibody, and the Company's next generation ISAC platform including new clinical candidate, BDC-4182, a Boltbody ISAC targeting claudin 18.2. The restructuring plan reduced the Company’s workforce by approximately 50%. The Company recorded a total restructuring charge of $3.6 million, which consisted of $2.9 million of one-time termination benefits such as severance costs and related benefits and $0.7 million of non-cash stock-based compensation expense. Cash payments of $0.7 million were made during the year ended December 31, 2025. Severance payments commenced in July 2024 and extended through July 2025. The following table provides details on the Company's restructuring and other charges (in thousands):</w:t>
      </w:r>
    </w:p>
    <w:p>
      <w:pPr>
        <w:sectPr>
          <w:pgSz w:w="12240" w:h="15840" w:orient="portrait"/>
          <w:cols w:equalWidth="0" w:num="1">
            <w:col w:w="9700"/>
          </w:cols>
          <w:pgMar w:left="1260" w:top="1089"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101</w:t>
      </w:r>
    </w:p>
    <w:p>
      <w:pPr>
        <w:sectPr>
          <w:pgSz w:w="12240" w:h="15840" w:orient="portrait"/>
          <w:cols w:equalWidth="0" w:num="1">
            <w:col w:w="9700"/>
          </w:cols>
          <w:pgMar w:left="1260" w:top="1089" w:right="1280" w:bottom="181" w:gutter="0" w:footer="0" w:header="0"/>
          <w:type w:val="continuous"/>
        </w:sectPr>
      </w:pPr>
    </w:p>
    <w:bookmarkStart w:id="141" w:name="page142"/>
    <w:bookmarkEnd w:id="141"/>
    <w:tbl>
      <w:tblPr>
        <w:tblLayout w:type="fixed"/>
        <w:tblInd w:w="194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20"/>
                <w:szCs w:val="20"/>
                <w:b w:val="1"/>
                <w:bCs w:val="1"/>
                <w:color w:val="auto"/>
              </w:rPr>
              <w:t>Balance at December 31, 2024</w:t>
            </w:r>
          </w:p>
        </w:tc>
        <w:tc>
          <w:tcPr>
            <w:tcW w:w="1500" w:type="dxa"/>
            <w:vAlign w:val="bottom"/>
            <w:gridSpan w:val="2"/>
          </w:tcPr>
          <w:p>
            <w:pPr>
              <w:jc w:val="right"/>
              <w:ind w:right="280"/>
              <w:spacing w:after="0"/>
              <w:rPr>
                <w:sz w:val="20"/>
                <w:szCs w:val="20"/>
                <w:color w:val="auto"/>
              </w:rPr>
            </w:pPr>
            <w:r>
              <w:rPr>
                <w:rFonts w:ascii="Arial" w:cs="Arial" w:eastAsia="Arial" w:hAnsi="Arial"/>
                <w:sz w:val="20"/>
                <w:szCs w:val="20"/>
                <w:b w:val="1"/>
                <w:bCs w:val="1"/>
                <w:color w:val="auto"/>
              </w:rPr>
              <w:t>$</w:t>
            </w:r>
          </w:p>
        </w:tc>
        <w:tc>
          <w:tcPr>
            <w:tcW w:w="660" w:type="dxa"/>
            <w:vAlign w:val="bottom"/>
          </w:tcPr>
          <w:p>
            <w:pPr>
              <w:jc w:val="right"/>
              <w:spacing w:after="0"/>
              <w:rPr>
                <w:sz w:val="20"/>
                <w:szCs w:val="20"/>
                <w:color w:val="auto"/>
              </w:rPr>
            </w:pPr>
            <w:r>
              <w:rPr>
                <w:rFonts w:ascii="Arial" w:cs="Arial" w:eastAsia="Arial" w:hAnsi="Arial"/>
                <w:sz w:val="20"/>
                <w:szCs w:val="20"/>
                <w:b w:val="1"/>
                <w:bCs w:val="1"/>
                <w:color w:val="auto"/>
              </w:rPr>
              <w:t>739</w:t>
            </w:r>
          </w:p>
        </w:tc>
        <w:tc>
          <w:tcPr>
            <w:tcW w:w="60" w:type="dxa"/>
            <w:vAlign w:val="bottom"/>
          </w:tcPr>
          <w:p>
            <w:pPr>
              <w:spacing w:after="0"/>
              <w:rPr>
                <w:sz w:val="19"/>
                <w:szCs w:val="19"/>
                <w:color w:val="auto"/>
              </w:rPr>
            </w:pPr>
          </w:p>
        </w:tc>
      </w:tr>
      <w:tr>
        <w:trPr>
          <w:trHeight w:val="245"/>
        </w:trPr>
        <w:tc>
          <w:tcPr>
            <w:tcW w:w="3580" w:type="dxa"/>
            <w:vAlign w:val="bottom"/>
          </w:tcPr>
          <w:p>
            <w:pPr>
              <w:spacing w:after="0"/>
              <w:rPr>
                <w:sz w:val="20"/>
                <w:szCs w:val="20"/>
                <w:color w:val="auto"/>
              </w:rPr>
            </w:pPr>
            <w:r>
              <w:rPr>
                <w:rFonts w:ascii="Arial" w:cs="Arial" w:eastAsia="Arial" w:hAnsi="Arial"/>
                <w:sz w:val="20"/>
                <w:szCs w:val="20"/>
                <w:b w:val="1"/>
                <w:bCs w:val="1"/>
                <w:color w:val="auto"/>
              </w:rPr>
              <w:t>Adjustments in the period</w:t>
            </w: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b w:val="1"/>
                <w:bCs w:val="1"/>
                <w:color w:val="auto"/>
              </w:rPr>
              <w:t>(54)</w:t>
            </w:r>
          </w:p>
        </w:tc>
      </w:tr>
      <w:tr>
        <w:trPr>
          <w:trHeight w:val="245"/>
        </w:trPr>
        <w:tc>
          <w:tcPr>
            <w:tcW w:w="3580" w:type="dxa"/>
            <w:vAlign w:val="bottom"/>
          </w:tcPr>
          <w:p>
            <w:pPr>
              <w:spacing w:after="0"/>
              <w:rPr>
                <w:sz w:val="20"/>
                <w:szCs w:val="20"/>
                <w:color w:val="auto"/>
              </w:rPr>
            </w:pPr>
            <w:r>
              <w:rPr>
                <w:rFonts w:ascii="Arial" w:cs="Arial" w:eastAsia="Arial" w:hAnsi="Arial"/>
                <w:sz w:val="20"/>
                <w:szCs w:val="20"/>
                <w:b w:val="1"/>
                <w:bCs w:val="1"/>
                <w:color w:val="auto"/>
              </w:rPr>
              <w:t>Cash payments</w:t>
            </w: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b w:val="1"/>
                <w:bCs w:val="1"/>
                <w:color w:val="auto"/>
              </w:rPr>
              <w:t>(685)</w:t>
            </w:r>
          </w:p>
        </w:tc>
      </w:tr>
      <w:tr>
        <w:trPr>
          <w:trHeight w:val="20"/>
        </w:trPr>
        <w:tc>
          <w:tcPr>
            <w:tcW w:w="3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9"/>
        </w:trPr>
        <w:tc>
          <w:tcPr>
            <w:tcW w:w="3580" w:type="dxa"/>
            <w:vAlign w:val="bottom"/>
          </w:tcPr>
          <w:p>
            <w:pPr>
              <w:spacing w:after="0"/>
              <w:rPr>
                <w:sz w:val="20"/>
                <w:szCs w:val="20"/>
                <w:color w:val="auto"/>
              </w:rPr>
            </w:pPr>
            <w:r>
              <w:rPr>
                <w:rFonts w:ascii="Arial" w:cs="Arial" w:eastAsia="Arial" w:hAnsi="Arial"/>
                <w:sz w:val="20"/>
                <w:szCs w:val="20"/>
                <w:b w:val="1"/>
                <w:bCs w:val="1"/>
                <w:color w:val="auto"/>
              </w:rPr>
              <w:t>Balance at December 31, 2025</w:t>
            </w:r>
          </w:p>
        </w:tc>
        <w:tc>
          <w:tcPr>
            <w:tcW w:w="1500" w:type="dxa"/>
            <w:vAlign w:val="bottom"/>
            <w:gridSpan w:val="2"/>
          </w:tcPr>
          <w:p>
            <w:pPr>
              <w:jc w:val="right"/>
              <w:ind w:right="280"/>
              <w:spacing w:after="0"/>
              <w:rPr>
                <w:sz w:val="20"/>
                <w:szCs w:val="20"/>
                <w:color w:val="auto"/>
              </w:rPr>
            </w:pPr>
            <w:r>
              <w:rPr>
                <w:rFonts w:ascii="Arial" w:cs="Arial" w:eastAsia="Arial" w:hAnsi="Arial"/>
                <w:sz w:val="20"/>
                <w:szCs w:val="20"/>
                <w:b w:val="1"/>
                <w:bCs w:val="1"/>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2021840</wp:posOffset>
            </wp:positionH>
            <wp:positionV relativeFrom="page">
              <wp:posOffset>826770</wp:posOffset>
            </wp:positionV>
            <wp:extent cx="3724275" cy="39128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724275" cy="3912870"/>
                    </a:xfrm>
                    <a:prstGeom prst="rect">
                      <a:avLst/>
                    </a:prstGeom>
                    <a:noFill/>
                  </pic:spPr>
                </pic:pic>
              </a:graphicData>
            </a:graphic>
          </wp:anchor>
        </w:drawing>
      </w:r>
    </w:p>
    <w:p>
      <w:pPr>
        <w:spacing w:after="0" w:line="204" w:lineRule="exact"/>
        <w:rPr>
          <w:sz w:val="20"/>
          <w:szCs w:val="20"/>
          <w:color w:val="auto"/>
        </w:rPr>
      </w:pPr>
    </w:p>
    <w:p>
      <w:pPr>
        <w:ind w:right="160"/>
        <w:spacing w:after="0" w:line="236" w:lineRule="auto"/>
        <w:rPr>
          <w:sz w:val="20"/>
          <w:szCs w:val="20"/>
          <w:color w:val="auto"/>
        </w:rPr>
      </w:pPr>
      <w:r>
        <w:rPr>
          <w:rFonts w:ascii="Arial" w:cs="Arial" w:eastAsia="Arial" w:hAnsi="Arial"/>
          <w:sz w:val="20"/>
          <w:szCs w:val="20"/>
          <w:b w:val="1"/>
          <w:bCs w:val="1"/>
          <w:color w:val="auto"/>
        </w:rPr>
        <w:t>In June 2024, the Company assessed whether the restructuring plan constituted a triggering event indicating potential impairment of its long-lived assets, including operating lease right-of-use assets and property and equipment. Based on this evaluation, the Company determined that while impairment indicators were present, no impairment charge was necessary at that time.</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October 2025 Restructuring</w:t>
      </w:r>
    </w:p>
    <w:p>
      <w:pPr>
        <w:spacing w:after="0" w:line="131"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b w:val="1"/>
          <w:bCs w:val="1"/>
          <w:color w:val="auto"/>
        </w:rPr>
        <w:t>On October 1, 2025, the Company announced a restructuring plan pursuant to which it reduced overall operating expenses to preserve cash. The restructuring plan included a reduction of the Company’s current workforce by approximately 20 employees, or approximately 50% of the Company’s workforce. The Company recorded a total restructuring charge of $1.5 million in connection with the reduction-in-force, primarily consisting of severance payments, employee benefits, and related costs. The Company expects that the $1.5 million represents the total restructuring charges to be incurred in connection with the plan and does not anticipate incurring any additional material charges.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following table provides details on the Company's restructuring and other charges (in thousands):</w:t>
      </w:r>
    </w:p>
    <w:p>
      <w:pPr>
        <w:spacing w:after="0" w:line="364" w:lineRule="exact"/>
        <w:rPr>
          <w:sz w:val="20"/>
          <w:szCs w:val="20"/>
          <w:color w:val="auto"/>
        </w:rPr>
      </w:pPr>
    </w:p>
    <w:tbl>
      <w:tblPr>
        <w:tblLayout w:type="fixed"/>
        <w:tblInd w:w="194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20"/>
                <w:szCs w:val="20"/>
                <w:b w:val="1"/>
                <w:bCs w:val="1"/>
                <w:color w:val="auto"/>
              </w:rPr>
              <w:t>Liability balance, October 2025</w:t>
            </w:r>
          </w:p>
        </w:tc>
        <w:tc>
          <w:tcPr>
            <w:tcW w:w="360" w:type="dxa"/>
            <w:vAlign w:val="bottom"/>
          </w:tcPr>
          <w:p>
            <w:pPr>
              <w:jc w:val="right"/>
              <w:ind w:right="160"/>
              <w:spacing w:after="0"/>
              <w:rPr>
                <w:sz w:val="20"/>
                <w:szCs w:val="20"/>
                <w:color w:val="auto"/>
              </w:rPr>
            </w:pPr>
            <w:r>
              <w:rPr>
                <w:rFonts w:ascii="Arial" w:cs="Arial" w:eastAsia="Arial" w:hAnsi="Arial"/>
                <w:sz w:val="20"/>
                <w:szCs w:val="2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1,480</w:t>
            </w:r>
          </w:p>
        </w:tc>
        <w:tc>
          <w:tcPr>
            <w:tcW w:w="80" w:type="dxa"/>
            <w:vAlign w:val="bottom"/>
          </w:tcPr>
          <w:p>
            <w:pPr>
              <w:spacing w:after="0"/>
              <w:rPr>
                <w:sz w:val="19"/>
                <w:szCs w:val="19"/>
                <w:color w:val="auto"/>
              </w:rPr>
            </w:pPr>
          </w:p>
        </w:tc>
      </w:tr>
      <w:tr>
        <w:trPr>
          <w:trHeight w:val="245"/>
        </w:trPr>
        <w:tc>
          <w:tcPr>
            <w:tcW w:w="4680" w:type="dxa"/>
            <w:vAlign w:val="bottom"/>
          </w:tcPr>
          <w:p>
            <w:pPr>
              <w:spacing w:after="0"/>
              <w:rPr>
                <w:sz w:val="20"/>
                <w:szCs w:val="20"/>
                <w:color w:val="auto"/>
              </w:rPr>
            </w:pPr>
            <w:r>
              <w:rPr>
                <w:rFonts w:ascii="Arial" w:cs="Arial" w:eastAsia="Arial" w:hAnsi="Arial"/>
                <w:sz w:val="20"/>
                <w:szCs w:val="20"/>
                <w:b w:val="1"/>
                <w:bCs w:val="1"/>
                <w:color w:val="auto"/>
              </w:rPr>
              <w:t>Adjustments in the period</w:t>
            </w: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49</w:t>
            </w:r>
          </w:p>
        </w:tc>
        <w:tc>
          <w:tcPr>
            <w:tcW w:w="80" w:type="dxa"/>
            <w:vAlign w:val="bottom"/>
          </w:tcPr>
          <w:p>
            <w:pPr>
              <w:spacing w:after="0"/>
              <w:rPr>
                <w:sz w:val="21"/>
                <w:szCs w:val="21"/>
                <w:color w:val="auto"/>
              </w:rPr>
            </w:pPr>
          </w:p>
        </w:tc>
      </w:tr>
      <w:tr>
        <w:trPr>
          <w:trHeight w:val="245"/>
        </w:trPr>
        <w:tc>
          <w:tcPr>
            <w:tcW w:w="4680" w:type="dxa"/>
            <w:vAlign w:val="bottom"/>
          </w:tcPr>
          <w:p>
            <w:pPr>
              <w:spacing w:after="0"/>
              <w:rPr>
                <w:sz w:val="20"/>
                <w:szCs w:val="20"/>
                <w:color w:val="auto"/>
              </w:rPr>
            </w:pPr>
            <w:r>
              <w:rPr>
                <w:rFonts w:ascii="Arial" w:cs="Arial" w:eastAsia="Arial" w:hAnsi="Arial"/>
                <w:sz w:val="20"/>
                <w:szCs w:val="20"/>
                <w:b w:val="1"/>
                <w:bCs w:val="1"/>
                <w:color w:val="auto"/>
              </w:rPr>
              <w:t>Cash payments</w:t>
            </w:r>
          </w:p>
        </w:tc>
        <w:tc>
          <w:tcPr>
            <w:tcW w:w="3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b w:val="1"/>
                <w:bCs w:val="1"/>
                <w:color w:val="auto"/>
              </w:rPr>
              <w:t>(785)</w:t>
            </w:r>
          </w:p>
        </w:tc>
      </w:tr>
      <w:tr>
        <w:trPr>
          <w:trHeight w:val="239"/>
        </w:trPr>
        <w:tc>
          <w:tcPr>
            <w:tcW w:w="4680" w:type="dxa"/>
            <w:vAlign w:val="bottom"/>
          </w:tcPr>
          <w:p>
            <w:pPr>
              <w:spacing w:after="0"/>
              <w:rPr>
                <w:sz w:val="20"/>
                <w:szCs w:val="20"/>
                <w:color w:val="auto"/>
              </w:rPr>
            </w:pPr>
            <w:r>
              <w:rPr>
                <w:rFonts w:ascii="Arial" w:cs="Arial" w:eastAsia="Arial" w:hAnsi="Arial"/>
                <w:sz w:val="20"/>
                <w:szCs w:val="20"/>
                <w:b w:val="1"/>
                <w:bCs w:val="1"/>
                <w:color w:val="auto"/>
              </w:rPr>
              <w:t>Balance at December 31, 2025</w:t>
            </w:r>
          </w:p>
        </w:tc>
        <w:tc>
          <w:tcPr>
            <w:tcW w:w="360" w:type="dxa"/>
            <w:vAlign w:val="bottom"/>
            <w:tcBorders>
              <w:top w:val="single" w:sz="8" w:color="auto"/>
            </w:tcBorders>
          </w:tcPr>
          <w:p>
            <w:pPr>
              <w:jc w:val="right"/>
              <w:ind w:right="160"/>
              <w:spacing w:after="0"/>
              <w:rPr>
                <w:sz w:val="20"/>
                <w:szCs w:val="20"/>
                <w:color w:val="auto"/>
              </w:rPr>
            </w:pPr>
            <w:r>
              <w:rPr>
                <w:rFonts w:ascii="Arial" w:cs="Arial" w:eastAsia="Arial" w:hAnsi="Arial"/>
                <w:sz w:val="20"/>
                <w:szCs w:val="20"/>
                <w:b w:val="1"/>
                <w:bCs w:val="1"/>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744</w:t>
            </w:r>
          </w:p>
        </w:tc>
        <w:tc>
          <w:tcPr>
            <w:tcW w:w="80" w:type="dxa"/>
            <w:vAlign w:val="bottom"/>
          </w:tcPr>
          <w:p>
            <w:pPr>
              <w:spacing w:after="0"/>
              <w:rPr>
                <w:sz w:val="20"/>
                <w:szCs w:val="20"/>
                <w:color w:val="auto"/>
              </w:rPr>
            </w:pPr>
          </w:p>
        </w:tc>
      </w:tr>
    </w:tbl>
    <w:p>
      <w:pPr>
        <w:spacing w:after="0" w:line="284" w:lineRule="exact"/>
        <w:rPr>
          <w:sz w:val="20"/>
          <w:szCs w:val="20"/>
          <w:color w:val="auto"/>
        </w:rPr>
      </w:pPr>
    </w:p>
    <w:p>
      <w:pPr>
        <w:jc w:val="both"/>
        <w:ind w:right="300"/>
        <w:spacing w:after="0" w:line="253" w:lineRule="auto"/>
        <w:rPr>
          <w:sz w:val="20"/>
          <w:szCs w:val="20"/>
          <w:color w:val="auto"/>
        </w:rPr>
      </w:pPr>
      <w:r>
        <w:rPr>
          <w:rFonts w:ascii="Arial" w:cs="Arial" w:eastAsia="Arial" w:hAnsi="Arial"/>
          <w:sz w:val="19"/>
          <w:szCs w:val="19"/>
          <w:b w:val="1"/>
          <w:bCs w:val="1"/>
          <w:color w:val="auto"/>
        </w:rPr>
        <w:t>In December 2025, the Company assessed whether the October 2025 restructuring plan constituted a triggering event indicating potential impairment of its long-lived assets, including operating lease right-of-use assets and property and equipment. Based on this evaluation, the Company determined that although impairment indicators were present, no impairment charge was necessary at that time.</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Shelf Registration and At-The-Market Equity Offering</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color w:val="auto"/>
        </w:rPr>
        <w:t>On March 30, 2022, the Company filed a shelf registration statement on Form S-3 (the "Registration Statement"). Pursuant to the Registration Statement, the Company may offer and sell securities having an aggregate public offering price of up to $250.0 million. In connection with the filing of the Registration Statement, the Company also entered into a sales agreement with Cowen and Company, LLC ("Cowen"), as sales agent or principal, pursuant to which the Company may issue and sell shares of its common stock for an aggregate offering price of up to $75.0 million under an at-the-market (the “ATM”) offering program. Pursuant to the ATM, the Company will pay Cowen a commission rate equal to 3.0% of the gross proceeds from the sale of any shares of common stock. The Company is not obligated to make any sales of shares of its common stock under the ATM. Subsequently, the ATM expired as of March 29, 2025. As of December 31, 2025 and 2024, no shares of the Company's common stock had been sold under this ATM.</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 Reserved for Future Issuance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shares of common stock were reserved for future issuance:</w:t>
      </w:r>
    </w:p>
    <w:p>
      <w:pPr>
        <w:sectPr>
          <w:pgSz w:w="12240" w:h="15840" w:orient="portrait"/>
          <w:cols w:equalWidth="0" w:num="1">
            <w:col w:w="9700"/>
          </w:cols>
          <w:pgMar w:left="1260" w:top="1335"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102</w:t>
      </w:r>
    </w:p>
    <w:p>
      <w:pPr>
        <w:sectPr>
          <w:pgSz w:w="12240" w:h="15840" w:orient="portrait"/>
          <w:cols w:equalWidth="0" w:num="1">
            <w:col w:w="9700"/>
          </w:cols>
          <w:pgMar w:left="1260" w:top="1335" w:right="1280" w:bottom="181" w:gutter="0" w:footer="0" w:header="0"/>
          <w:type w:val="continuous"/>
        </w:sectPr>
      </w:pPr>
    </w:p>
    <w:bookmarkStart w:id="142" w:name="page143"/>
    <w:bookmarkEnd w:id="142"/>
    <w:tbl>
      <w:tblPr>
        <w:tblLayout w:type="fixed"/>
        <w:tblInd w:w="194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w w:val="92"/>
              </w:rPr>
              <w:t>December 31,</w:t>
            </w:r>
          </w:p>
        </w:tc>
      </w:tr>
      <w:tr>
        <w:trPr>
          <w:trHeight w:val="184"/>
        </w:trPr>
        <w:tc>
          <w:tcPr>
            <w:tcW w:w="4720" w:type="dxa"/>
            <w:vAlign w:val="bottom"/>
          </w:tcPr>
          <w:p>
            <w:pPr>
              <w:spacing w:after="0"/>
              <w:rPr>
                <w:sz w:val="16"/>
                <w:szCs w:val="16"/>
                <w:color w:val="auto"/>
              </w:rPr>
            </w:pPr>
          </w:p>
        </w:tc>
        <w:tc>
          <w:tcPr>
            <w:tcW w:w="1040" w:type="dxa"/>
            <w:vAlign w:val="bottom"/>
            <w:tcBorders>
              <w:bottom w:val="single" w:sz="8" w:color="auto"/>
            </w:tcBorders>
          </w:tcPr>
          <w:p>
            <w:pPr>
              <w:jc w:val="right"/>
              <w:ind w:right="266"/>
              <w:spacing w:after="0"/>
              <w:rPr>
                <w:sz w:val="20"/>
                <w:szCs w:val="20"/>
                <w:color w:val="auto"/>
              </w:rPr>
            </w:pPr>
            <w:r>
              <w:rPr>
                <w:rFonts w:ascii="Arial" w:cs="Arial" w:eastAsia="Arial" w:hAnsi="Arial"/>
                <w:sz w:val="16"/>
                <w:szCs w:val="16"/>
                <w:b w:val="1"/>
                <w:bCs w:val="1"/>
                <w:color w:val="auto"/>
              </w:rPr>
              <w:t>2025</w:t>
            </w:r>
          </w:p>
        </w:tc>
      </w:tr>
      <w:tr>
        <w:trPr>
          <w:trHeight w:val="238"/>
        </w:trPr>
        <w:tc>
          <w:tcPr>
            <w:tcW w:w="4720" w:type="dxa"/>
            <w:vAlign w:val="bottom"/>
          </w:tcPr>
          <w:p>
            <w:pPr>
              <w:spacing w:after="0"/>
              <w:rPr>
                <w:sz w:val="20"/>
                <w:szCs w:val="20"/>
                <w:color w:val="auto"/>
              </w:rPr>
            </w:pPr>
            <w:r>
              <w:rPr>
                <w:rFonts w:ascii="Arial" w:cs="Arial" w:eastAsia="Arial" w:hAnsi="Arial"/>
                <w:sz w:val="20"/>
                <w:szCs w:val="20"/>
                <w:b w:val="1"/>
                <w:bCs w:val="1"/>
                <w:color w:val="auto"/>
              </w:rPr>
              <w:t>Common stock options issued and outstanding</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459,775</w:t>
            </w:r>
          </w:p>
        </w:tc>
      </w:tr>
      <w:tr>
        <w:trPr>
          <w:trHeight w:val="245"/>
        </w:trPr>
        <w:tc>
          <w:tcPr>
            <w:tcW w:w="4720" w:type="dxa"/>
            <w:vAlign w:val="bottom"/>
          </w:tcPr>
          <w:p>
            <w:pPr>
              <w:spacing w:after="0"/>
              <w:rPr>
                <w:sz w:val="20"/>
                <w:szCs w:val="20"/>
                <w:color w:val="auto"/>
              </w:rPr>
            </w:pPr>
            <w:r>
              <w:rPr>
                <w:rFonts w:ascii="Arial" w:cs="Arial" w:eastAsia="Arial" w:hAnsi="Arial"/>
                <w:sz w:val="20"/>
                <w:szCs w:val="20"/>
                <w:b w:val="1"/>
                <w:bCs w:val="1"/>
                <w:color w:val="auto"/>
                <w:w w:val="97"/>
              </w:rPr>
              <w:t>Common stock restricted stock awards issued and</w:t>
            </w:r>
          </w:p>
        </w:tc>
        <w:tc>
          <w:tcPr>
            <w:tcW w:w="1040" w:type="dxa"/>
            <w:vAlign w:val="bottom"/>
          </w:tcPr>
          <w:p>
            <w:pPr>
              <w:spacing w:after="0"/>
              <w:rPr>
                <w:sz w:val="21"/>
                <w:szCs w:val="2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20"/>
                <w:szCs w:val="20"/>
                <w:b w:val="1"/>
                <w:bCs w:val="1"/>
                <w:color w:val="auto"/>
              </w:rPr>
              <w:t>outstanding</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249,500</w:t>
            </w:r>
          </w:p>
        </w:tc>
      </w:tr>
      <w:tr>
        <w:trPr>
          <w:trHeight w:val="242"/>
        </w:trPr>
        <w:tc>
          <w:tcPr>
            <w:tcW w:w="4720" w:type="dxa"/>
            <w:vAlign w:val="bottom"/>
          </w:tcPr>
          <w:p>
            <w:pPr>
              <w:spacing w:after="0"/>
              <w:rPr>
                <w:sz w:val="20"/>
                <w:szCs w:val="20"/>
                <w:color w:val="auto"/>
              </w:rPr>
            </w:pPr>
            <w:r>
              <w:rPr>
                <w:rFonts w:ascii="Arial" w:cs="Arial" w:eastAsia="Arial" w:hAnsi="Arial"/>
                <w:sz w:val="20"/>
                <w:szCs w:val="20"/>
                <w:b w:val="1"/>
                <w:bCs w:val="1"/>
                <w:color w:val="auto"/>
                <w:w w:val="90"/>
              </w:rPr>
              <w:t>Common stock available for future issuance under the</w:t>
            </w:r>
          </w:p>
        </w:tc>
        <w:tc>
          <w:tcPr>
            <w:tcW w:w="1040" w:type="dxa"/>
            <w:vAlign w:val="bottom"/>
          </w:tcPr>
          <w:p>
            <w:pPr>
              <w:spacing w:after="0"/>
              <w:rPr>
                <w:sz w:val="21"/>
                <w:szCs w:val="2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20"/>
                <w:szCs w:val="20"/>
                <w:b w:val="1"/>
                <w:bCs w:val="1"/>
                <w:color w:val="auto"/>
              </w:rPr>
              <w:t>2021 Plan</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54,490</w:t>
            </w:r>
          </w:p>
        </w:tc>
      </w:tr>
      <w:tr>
        <w:trPr>
          <w:trHeight w:val="245"/>
        </w:trPr>
        <w:tc>
          <w:tcPr>
            <w:tcW w:w="4720" w:type="dxa"/>
            <w:vAlign w:val="bottom"/>
          </w:tcPr>
          <w:p>
            <w:pPr>
              <w:spacing w:after="0"/>
              <w:rPr>
                <w:sz w:val="20"/>
                <w:szCs w:val="20"/>
                <w:color w:val="auto"/>
              </w:rPr>
            </w:pPr>
            <w:r>
              <w:rPr>
                <w:rFonts w:ascii="Arial" w:cs="Arial" w:eastAsia="Arial" w:hAnsi="Arial"/>
                <w:sz w:val="20"/>
                <w:szCs w:val="20"/>
                <w:b w:val="1"/>
                <w:bCs w:val="1"/>
                <w:color w:val="auto"/>
                <w:w w:val="90"/>
              </w:rPr>
              <w:t>Common stock available for future issuance under the</w:t>
            </w:r>
          </w:p>
        </w:tc>
        <w:tc>
          <w:tcPr>
            <w:tcW w:w="1040" w:type="dxa"/>
            <w:vAlign w:val="bottom"/>
          </w:tcPr>
          <w:p>
            <w:pPr>
              <w:spacing w:after="0"/>
              <w:rPr>
                <w:sz w:val="21"/>
                <w:szCs w:val="21"/>
                <w:color w:val="auto"/>
              </w:rPr>
            </w:pPr>
          </w:p>
        </w:tc>
      </w:tr>
      <w:tr>
        <w:trPr>
          <w:trHeight w:val="231"/>
        </w:trPr>
        <w:tc>
          <w:tcPr>
            <w:tcW w:w="4720" w:type="dxa"/>
            <w:vAlign w:val="bottom"/>
          </w:tcPr>
          <w:p>
            <w:pPr>
              <w:spacing w:after="0"/>
              <w:rPr>
                <w:sz w:val="20"/>
                <w:szCs w:val="20"/>
                <w:color w:val="auto"/>
              </w:rPr>
            </w:pPr>
            <w:r>
              <w:rPr>
                <w:rFonts w:ascii="Arial" w:cs="Arial" w:eastAsia="Arial" w:hAnsi="Arial"/>
                <w:sz w:val="20"/>
                <w:szCs w:val="20"/>
                <w:b w:val="1"/>
                <w:bCs w:val="1"/>
                <w:color w:val="auto"/>
              </w:rPr>
              <w:t>ESPP</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54,230</w:t>
            </w:r>
          </w:p>
        </w:tc>
      </w:tr>
      <w:tr>
        <w:trPr>
          <w:trHeight w:val="236"/>
        </w:trPr>
        <w:tc>
          <w:tcPr>
            <w:tcW w:w="472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817,995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-1242695</wp:posOffset>
            </wp:positionV>
            <wp:extent cx="3724275" cy="12858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72427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Stock-Based Compensation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Equity Incentive Plan and 2021 Employee Stock Purchase Plan</w:t>
      </w:r>
    </w:p>
    <w:p>
      <w:pPr>
        <w:spacing w:after="0" w:line="169"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color w:val="auto"/>
        </w:rPr>
        <w:t>In January 2021, the Company’s board of directors adopted the 2021 Equity Incentive Plan (the “2021 Plan”) and the Company’s stockholders approved the 2021 Plan. The 2021 Plan authorized issuance of up to 403,750 shares of common stock and it became effective upon the execution of the underwriting agreement for the Company’s IPO. In addition, the number of shares of common stock reserved for issuance under the 2021 Plan automatically increases on the first day of January of each calendar year that commences after the 2021 Plan became effective and continuing through and including January 1, 2031, in an amount equal to 5% of the total number of shares of the Company’s common stock outstanding on December 31, or a lesser number of shares determined by the Company's board of directors or compensation committee. As a result, common stock reserved for issuance under the 2021 Plan was increased by 95,849 shares on January 1, 2025. In connection with the workforce reduction described in Note 7 “Restructuring”, the Company entered into consulting agreements with certain officers of the Company, pursuant to which a total of 80,785 stock options previously granted to the officers were canceled on July 15, 2024.</w:t>
      </w:r>
    </w:p>
    <w:p>
      <w:pPr>
        <w:spacing w:after="0" w:line="216"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color w:val="auto"/>
        </w:rPr>
        <w:t>In addition, in January 2021, the Company’s board of directors and stockholders adopted the 2021 Employee Stock Purchase Plan (the “ESPP”). The ESPP authorized issuance of up to 21,000 shares of common stock and it became effective upon the execution of the underwriting agreement for the Company’s IPO. The ESPP permits participants to purchase common stock through payroll deductions of up to 15% of their eligible compensation. Employees purchase shares of common stock at a price per share equal to 85% of the lower of the fair market value at the start or end of six-month purchase periods within the two-year offering period. In addition, the number of shares of common stock reserved for issuance under the ESPP automatically increases on January 1 of each calendar year that commences after the ESPP became effective and continuing through and including January 1, 2031, by the lesser of (1) 1% of the total number of shares of the Company's common stock outstanding on December 31 of the preceding calendar year, (2) 42,000 shares, and (3) a number of shares determined by the Company's board of directors. As a result, common stock reserved for issuance under the 2021 ESPP was increased by 19,169 shares on January 1, 2025. During the years ended December 31, 2025 and 2024, 3,623 and 9,161 shares were issued under the ESPP,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and Service-Based Stock Options</w:t>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color w:val="auto"/>
        </w:rPr>
        <w:t>In September 2020, the compensation committee of the Company’s board of directors granted 26,300 options to employees that would commence vesting upon the closing of the Series C-2 financing and generally vest monthly over 48 months (the “Performance Awards”). The Company recognizes expense based on the fair value of the Performance Awards over the estimated service period (under the graded vesting method) to the extent the achievement of the related performance criteria is estimated to be probable. The Company determined that the financing milestone was achieved during January 2021. Accordingly, the Company recognized stock-based compensation expenses related to the Performance Awards of approximately zero and $35,000 for the years ended December 31, 2025 and 2024, respectively. The weighted-average grant date fair value of the Performance Awards was $64.80 per share.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table summarizes the stock option activity during the year ended December 31, 2025:</w:t>
      </w:r>
    </w:p>
    <w:p>
      <w:pPr>
        <w:sectPr>
          <w:pgSz w:w="12240" w:h="15840" w:orient="portrait"/>
          <w:cols w:equalWidth="0" w:num="1">
            <w:col w:w="9700"/>
          </w:cols>
          <w:pgMar w:left="1260" w:top="1093"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103</w:t>
      </w:r>
    </w:p>
    <w:p>
      <w:pPr>
        <w:sectPr>
          <w:pgSz w:w="12240" w:h="15840" w:orient="portrait"/>
          <w:cols w:equalWidth="0" w:num="1">
            <w:col w:w="9700"/>
          </w:cols>
          <w:pgMar w:left="1260" w:top="1093" w:right="1280" w:bottom="181"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40"/>
              <w:spacing w:after="0"/>
              <w:rPr>
                <w:sz w:val="20"/>
                <w:szCs w:val="20"/>
                <w:color w:val="auto"/>
              </w:rPr>
            </w:pPr>
            <w:r>
              <w:rPr>
                <w:rFonts w:ascii="Arial" w:cs="Arial" w:eastAsia="Arial" w:hAnsi="Arial"/>
                <w:sz w:val="16"/>
                <w:szCs w:val="16"/>
                <w:b w:val="1"/>
                <w:bCs w:val="1"/>
                <w:color w:val="auto"/>
                <w:w w:val="90"/>
              </w:rPr>
              <w:t>Weighted-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4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40"/>
              <w:spacing w:after="0"/>
              <w:rPr>
                <w:sz w:val="20"/>
                <w:szCs w:val="20"/>
                <w:color w:val="auto"/>
              </w:rPr>
            </w:pPr>
            <w:r>
              <w:rPr>
                <w:rFonts w:ascii="Arial" w:cs="Arial" w:eastAsia="Arial" w:hAnsi="Arial"/>
                <w:sz w:val="16"/>
                <w:szCs w:val="16"/>
                <w:b w:val="1"/>
                <w:bCs w:val="1"/>
                <w:color w:val="auto"/>
                <w:w w:val="89"/>
              </w:rPr>
              <w:t>average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2"/>
        </w:trPr>
        <w:tc>
          <w:tcPr>
            <w:tcW w:w="4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27"/>
              <w:spacing w:after="0" w:line="183" w:lineRule="exact"/>
              <w:rPr>
                <w:sz w:val="20"/>
                <w:szCs w:val="20"/>
                <w:color w:val="auto"/>
              </w:rPr>
            </w:pPr>
            <w:r>
              <w:rPr>
                <w:rFonts w:ascii="Arial" w:cs="Arial" w:eastAsia="Arial" w:hAnsi="Arial"/>
                <w:sz w:val="16"/>
                <w:szCs w:val="16"/>
                <w:b w:val="1"/>
                <w:bCs w:val="1"/>
                <w:color w:val="auto"/>
                <w:w w:val="90"/>
              </w:rPr>
              <w:t>Weighted-</w:t>
            </w:r>
          </w:p>
        </w:tc>
        <w:tc>
          <w:tcPr>
            <w:tcW w:w="180" w:type="dxa"/>
            <w:vAlign w:val="bottom"/>
          </w:tcPr>
          <w:p>
            <w:pPr>
              <w:spacing w:after="0"/>
              <w:rPr>
                <w:sz w:val="15"/>
                <w:szCs w:val="15"/>
                <w:color w:val="auto"/>
              </w:rPr>
            </w:pPr>
          </w:p>
        </w:tc>
        <w:tc>
          <w:tcPr>
            <w:tcW w:w="1020" w:type="dxa"/>
            <w:vAlign w:val="bottom"/>
          </w:tcPr>
          <w:p>
            <w:pPr>
              <w:jc w:val="center"/>
              <w:ind w:right="40"/>
              <w:spacing w:after="0" w:line="183" w:lineRule="exact"/>
              <w:rPr>
                <w:sz w:val="20"/>
                <w:szCs w:val="20"/>
                <w:color w:val="auto"/>
              </w:rPr>
            </w:pPr>
            <w:r>
              <w:rPr>
                <w:rFonts w:ascii="Arial" w:cs="Arial" w:eastAsia="Arial" w:hAnsi="Arial"/>
                <w:sz w:val="16"/>
                <w:szCs w:val="16"/>
                <w:b w:val="1"/>
                <w:bCs w:val="1"/>
                <w:color w:val="auto"/>
                <w:w w:val="90"/>
              </w:rPr>
              <w:t>Remaining</w:t>
            </w:r>
          </w:p>
        </w:tc>
        <w:tc>
          <w:tcPr>
            <w:tcW w:w="100" w:type="dxa"/>
            <w:vAlign w:val="bottom"/>
          </w:tcPr>
          <w:p>
            <w:pPr>
              <w:spacing w:after="0"/>
              <w:rPr>
                <w:sz w:val="15"/>
                <w:szCs w:val="15"/>
                <w:color w:val="auto"/>
              </w:rPr>
            </w:pPr>
          </w:p>
        </w:tc>
        <w:tc>
          <w:tcPr>
            <w:tcW w:w="980" w:type="dxa"/>
            <w:vAlign w:val="bottom"/>
            <w:gridSpan w:val="2"/>
          </w:tcPr>
          <w:p>
            <w:pPr>
              <w:jc w:val="center"/>
              <w:ind w:right="10"/>
              <w:spacing w:after="0" w:line="183" w:lineRule="exact"/>
              <w:rPr>
                <w:sz w:val="20"/>
                <w:szCs w:val="20"/>
                <w:color w:val="auto"/>
              </w:rPr>
            </w:pPr>
            <w:r>
              <w:rPr>
                <w:rFonts w:ascii="Arial" w:cs="Arial" w:eastAsia="Arial" w:hAnsi="Arial"/>
                <w:sz w:val="16"/>
                <w:szCs w:val="16"/>
                <w:b w:val="1"/>
                <w:bCs w:val="1"/>
                <w:color w:val="auto"/>
                <w:w w:val="93"/>
              </w:rPr>
              <w:t>Weighted-</w:t>
            </w:r>
          </w:p>
        </w:tc>
        <w:tc>
          <w:tcPr>
            <w:tcW w:w="120" w:type="dxa"/>
            <w:vAlign w:val="bottom"/>
          </w:tcPr>
          <w:p>
            <w:pPr>
              <w:spacing w:after="0"/>
              <w:rPr>
                <w:sz w:val="15"/>
                <w:szCs w:val="15"/>
                <w:color w:val="auto"/>
              </w:rPr>
            </w:pPr>
          </w:p>
        </w:tc>
        <w:tc>
          <w:tcPr>
            <w:tcW w:w="880" w:type="dxa"/>
            <w:vAlign w:val="bottom"/>
            <w:gridSpan w:val="2"/>
          </w:tcPr>
          <w:p>
            <w:pPr>
              <w:jc w:val="center"/>
              <w:spacing w:after="0" w:line="183" w:lineRule="exact"/>
              <w:rPr>
                <w:sz w:val="20"/>
                <w:szCs w:val="20"/>
                <w:color w:val="auto"/>
              </w:rPr>
            </w:pPr>
            <w:r>
              <w:rPr>
                <w:rFonts w:ascii="Arial" w:cs="Arial" w:eastAsia="Arial" w:hAnsi="Arial"/>
                <w:sz w:val="16"/>
                <w:szCs w:val="16"/>
                <w:b w:val="1"/>
                <w:bCs w:val="1"/>
                <w:color w:val="auto"/>
                <w:w w:val="88"/>
              </w:rPr>
              <w:t>Aggregate</w:t>
            </w:r>
          </w:p>
        </w:tc>
      </w:tr>
      <w:tr>
        <w:trPr>
          <w:trHeight w:val="185"/>
        </w:trPr>
        <w:tc>
          <w:tcPr>
            <w:tcW w:w="4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147"/>
              <w:spacing w:after="0"/>
              <w:rPr>
                <w:sz w:val="20"/>
                <w:szCs w:val="20"/>
                <w:color w:val="auto"/>
              </w:rPr>
            </w:pPr>
            <w:r>
              <w:rPr>
                <w:rFonts w:ascii="Arial" w:cs="Arial" w:eastAsia="Arial" w:hAnsi="Arial"/>
                <w:sz w:val="16"/>
                <w:szCs w:val="16"/>
                <w:b w:val="1"/>
                <w:bCs w:val="1"/>
                <w:color w:val="auto"/>
                <w:w w:val="89"/>
              </w:rPr>
              <w:t>average</w:t>
            </w:r>
          </w:p>
        </w:tc>
        <w:tc>
          <w:tcPr>
            <w:tcW w:w="180" w:type="dxa"/>
            <w:vAlign w:val="bottom"/>
          </w:tcPr>
          <w:p>
            <w:pPr>
              <w:spacing w:after="0"/>
              <w:rPr>
                <w:sz w:val="16"/>
                <w:szCs w:val="16"/>
                <w:color w:val="auto"/>
              </w:rPr>
            </w:pPr>
          </w:p>
        </w:tc>
        <w:tc>
          <w:tcPr>
            <w:tcW w:w="1020" w:type="dxa"/>
            <w:vAlign w:val="bottom"/>
          </w:tcPr>
          <w:p>
            <w:pPr>
              <w:jc w:val="center"/>
              <w:ind w:right="40"/>
              <w:spacing w:after="0"/>
              <w:rPr>
                <w:sz w:val="20"/>
                <w:szCs w:val="20"/>
                <w:color w:val="auto"/>
              </w:rPr>
            </w:pPr>
            <w:r>
              <w:rPr>
                <w:rFonts w:ascii="Arial" w:cs="Arial" w:eastAsia="Arial" w:hAnsi="Arial"/>
                <w:sz w:val="16"/>
                <w:szCs w:val="16"/>
                <w:b w:val="1"/>
                <w:bCs w:val="1"/>
                <w:color w:val="auto"/>
                <w:w w:val="92"/>
              </w:rPr>
              <w:t>Contractual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right="170"/>
              <w:spacing w:after="0"/>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27"/>
              <w:spacing w:after="0"/>
              <w:rPr>
                <w:sz w:val="20"/>
                <w:szCs w:val="20"/>
                <w:color w:val="auto"/>
              </w:rPr>
            </w:pPr>
            <w:r>
              <w:rPr>
                <w:rFonts w:ascii="Arial" w:cs="Arial" w:eastAsia="Arial" w:hAnsi="Arial"/>
                <w:sz w:val="16"/>
                <w:szCs w:val="16"/>
                <w:b w:val="1"/>
                <w:bCs w:val="1"/>
                <w:color w:val="auto"/>
                <w:w w:val="93"/>
              </w:rPr>
              <w:t>Intrinsic</w:t>
            </w:r>
          </w:p>
        </w:tc>
      </w:tr>
      <w:tr>
        <w:trPr>
          <w:trHeight w:val="185"/>
        </w:trPr>
        <w:tc>
          <w:tcPr>
            <w:tcW w:w="4220" w:type="dxa"/>
            <w:vAlign w:val="bottom"/>
          </w:tcPr>
          <w:p>
            <w:pPr>
              <w:spacing w:after="0"/>
              <w:rPr>
                <w:sz w:val="16"/>
                <w:szCs w:val="16"/>
                <w:color w:val="auto"/>
              </w:rPr>
            </w:pPr>
          </w:p>
        </w:tc>
        <w:tc>
          <w:tcPr>
            <w:tcW w:w="980" w:type="dxa"/>
            <w:vAlign w:val="bottom"/>
          </w:tcPr>
          <w:p>
            <w:pPr>
              <w:jc w:val="right"/>
              <w:ind w:right="185"/>
              <w:spacing w:after="0"/>
              <w:rPr>
                <w:sz w:val="20"/>
                <w:szCs w:val="20"/>
                <w:color w:val="auto"/>
              </w:rPr>
            </w:pPr>
            <w:r>
              <w:rPr>
                <w:rFonts w:ascii="Arial" w:cs="Arial" w:eastAsia="Arial" w:hAnsi="Arial"/>
                <w:sz w:val="16"/>
                <w:szCs w:val="16"/>
                <w:b w:val="1"/>
                <w:bCs w:val="1"/>
                <w:color w:val="auto"/>
              </w:rPr>
              <w:t>Options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147"/>
              <w:spacing w:after="0"/>
              <w:rPr>
                <w:sz w:val="20"/>
                <w:szCs w:val="20"/>
                <w:color w:val="auto"/>
              </w:rPr>
            </w:pPr>
            <w:r>
              <w:rPr>
                <w:rFonts w:ascii="Arial" w:cs="Arial" w:eastAsia="Arial" w:hAnsi="Arial"/>
                <w:sz w:val="16"/>
                <w:szCs w:val="16"/>
                <w:b w:val="1"/>
                <w:bCs w:val="1"/>
                <w:color w:val="auto"/>
                <w:w w:val="88"/>
              </w:rPr>
              <w:t>Exercise</w:t>
            </w:r>
          </w:p>
        </w:tc>
        <w:tc>
          <w:tcPr>
            <w:tcW w:w="180" w:type="dxa"/>
            <w:vAlign w:val="bottom"/>
          </w:tcPr>
          <w:p>
            <w:pPr>
              <w:spacing w:after="0"/>
              <w:rPr>
                <w:sz w:val="16"/>
                <w:szCs w:val="16"/>
                <w:color w:val="auto"/>
              </w:rPr>
            </w:pPr>
          </w:p>
        </w:tc>
        <w:tc>
          <w:tcPr>
            <w:tcW w:w="1020" w:type="dxa"/>
            <w:vAlign w:val="bottom"/>
          </w:tcPr>
          <w:p>
            <w:pPr>
              <w:jc w:val="center"/>
              <w:ind w:right="40"/>
              <w:spacing w:after="0"/>
              <w:rPr>
                <w:sz w:val="20"/>
                <w:szCs w:val="20"/>
                <w:color w:val="auto"/>
              </w:rPr>
            </w:pPr>
            <w:r>
              <w:rPr>
                <w:rFonts w:ascii="Arial" w:cs="Arial" w:eastAsia="Arial" w:hAnsi="Arial"/>
                <w:sz w:val="16"/>
                <w:szCs w:val="16"/>
                <w:b w:val="1"/>
                <w:bCs w:val="1"/>
                <w:color w:val="auto"/>
                <w:w w:val="97"/>
              </w:rPr>
              <w:t>Term</w:t>
            </w:r>
          </w:p>
        </w:tc>
        <w:tc>
          <w:tcPr>
            <w:tcW w:w="100" w:type="dxa"/>
            <w:vAlign w:val="bottom"/>
          </w:tcPr>
          <w:p>
            <w:pPr>
              <w:spacing w:after="0"/>
              <w:rPr>
                <w:sz w:val="16"/>
                <w:szCs w:val="16"/>
                <w:color w:val="auto"/>
              </w:rPr>
            </w:pPr>
          </w:p>
        </w:tc>
        <w:tc>
          <w:tcPr>
            <w:tcW w:w="980" w:type="dxa"/>
            <w:vAlign w:val="bottom"/>
            <w:gridSpan w:val="2"/>
          </w:tcPr>
          <w:p>
            <w:pPr>
              <w:jc w:val="center"/>
              <w:ind w:right="30"/>
              <w:spacing w:after="0"/>
              <w:rPr>
                <w:sz w:val="20"/>
                <w:szCs w:val="20"/>
                <w:color w:val="auto"/>
              </w:rPr>
            </w:pPr>
            <w:r>
              <w:rPr>
                <w:rFonts w:ascii="Arial" w:cs="Arial" w:eastAsia="Arial" w:hAnsi="Arial"/>
                <w:sz w:val="16"/>
                <w:szCs w:val="16"/>
                <w:b w:val="1"/>
                <w:bCs w:val="1"/>
                <w:color w:val="auto"/>
                <w:w w:val="95"/>
              </w:rPr>
              <w:t>Grant Date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27"/>
              <w:spacing w:after="0"/>
              <w:rPr>
                <w:sz w:val="20"/>
                <w:szCs w:val="20"/>
                <w:color w:val="auto"/>
              </w:rPr>
            </w:pPr>
            <w:r>
              <w:rPr>
                <w:rFonts w:ascii="Arial" w:cs="Arial" w:eastAsia="Arial" w:hAnsi="Arial"/>
                <w:sz w:val="16"/>
                <w:szCs w:val="16"/>
                <w:b w:val="1"/>
                <w:bCs w:val="1"/>
                <w:color w:val="auto"/>
                <w:w w:val="92"/>
              </w:rPr>
              <w:t>Value (in</w:t>
            </w:r>
          </w:p>
        </w:tc>
      </w:tr>
      <w:tr>
        <w:trPr>
          <w:trHeight w:val="183"/>
        </w:trPr>
        <w:tc>
          <w:tcPr>
            <w:tcW w:w="4220" w:type="dxa"/>
            <w:vAlign w:val="bottom"/>
          </w:tcPr>
          <w:p>
            <w:pPr>
              <w:spacing w:after="0"/>
              <w:rPr>
                <w:sz w:val="15"/>
                <w:szCs w:val="15"/>
                <w:color w:val="auto"/>
              </w:rPr>
            </w:pPr>
          </w:p>
        </w:tc>
        <w:tc>
          <w:tcPr>
            <w:tcW w:w="980" w:type="dxa"/>
            <w:vAlign w:val="bottom"/>
            <w:tcBorders>
              <w:bottom w:val="single" w:sz="8" w:color="auto"/>
            </w:tcBorders>
          </w:tcPr>
          <w:p>
            <w:pPr>
              <w:jc w:val="right"/>
              <w:ind w:right="25"/>
              <w:spacing w:after="0" w:line="182" w:lineRule="exact"/>
              <w:rPr>
                <w:sz w:val="20"/>
                <w:szCs w:val="20"/>
                <w:color w:val="auto"/>
              </w:rPr>
            </w:pPr>
            <w:r>
              <w:rPr>
                <w:rFonts w:ascii="Arial" w:cs="Arial" w:eastAsia="Arial" w:hAnsi="Arial"/>
                <w:sz w:val="16"/>
                <w:szCs w:val="16"/>
                <w:b w:val="1"/>
                <w:bCs w:val="1"/>
                <w:color w:val="auto"/>
                <w:w w:val="89"/>
              </w:rPr>
              <w:t>Outstanding</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47"/>
              <w:spacing w:after="0" w:line="182" w:lineRule="exact"/>
              <w:rPr>
                <w:sz w:val="20"/>
                <w:szCs w:val="20"/>
                <w:color w:val="auto"/>
              </w:rPr>
            </w:pPr>
            <w:r>
              <w:rPr>
                <w:rFonts w:ascii="Arial" w:cs="Arial" w:eastAsia="Arial" w:hAnsi="Arial"/>
                <w:sz w:val="16"/>
                <w:szCs w:val="16"/>
                <w:b w:val="1"/>
                <w:bCs w:val="1"/>
                <w:color w:val="auto"/>
                <w:w w:val="86"/>
              </w:rPr>
              <w:t>Price</w:t>
            </w:r>
          </w:p>
        </w:tc>
        <w:tc>
          <w:tcPr>
            <w:tcW w:w="180" w:type="dxa"/>
            <w:vAlign w:val="bottom"/>
          </w:tcPr>
          <w:p>
            <w:pPr>
              <w:spacing w:after="0"/>
              <w:rPr>
                <w:sz w:val="15"/>
                <w:szCs w:val="15"/>
                <w:color w:val="auto"/>
              </w:rPr>
            </w:pPr>
          </w:p>
        </w:tc>
        <w:tc>
          <w:tcPr>
            <w:tcW w:w="1020" w:type="dxa"/>
            <w:vAlign w:val="bottom"/>
            <w:tcBorders>
              <w:bottom w:val="single" w:sz="8" w:color="auto"/>
            </w:tcBorders>
          </w:tcPr>
          <w:p>
            <w:pPr>
              <w:jc w:val="center"/>
              <w:ind w:right="40"/>
              <w:spacing w:after="0" w:line="182" w:lineRule="exact"/>
              <w:rPr>
                <w:sz w:val="20"/>
                <w:szCs w:val="20"/>
                <w:color w:val="auto"/>
              </w:rPr>
            </w:pPr>
            <w:r>
              <w:rPr>
                <w:rFonts w:ascii="Arial" w:cs="Arial" w:eastAsia="Arial" w:hAnsi="Arial"/>
                <w:sz w:val="16"/>
                <w:szCs w:val="16"/>
                <w:b w:val="1"/>
                <w:bCs w:val="1"/>
                <w:color w:val="auto"/>
                <w:w w:val="92"/>
              </w:rPr>
              <w:t>(in years)</w:t>
            </w:r>
          </w:p>
        </w:tc>
        <w:tc>
          <w:tcPr>
            <w:tcW w:w="100" w:type="dxa"/>
            <w:vAlign w:val="bottom"/>
          </w:tcPr>
          <w:p>
            <w:pPr>
              <w:spacing w:after="0"/>
              <w:rPr>
                <w:sz w:val="15"/>
                <w:szCs w:val="15"/>
                <w:color w:val="auto"/>
              </w:rPr>
            </w:pPr>
          </w:p>
        </w:tc>
        <w:tc>
          <w:tcPr>
            <w:tcW w:w="980" w:type="dxa"/>
            <w:vAlign w:val="bottom"/>
            <w:tcBorders>
              <w:bottom w:val="single" w:sz="8" w:color="auto"/>
            </w:tcBorders>
            <w:gridSpan w:val="2"/>
          </w:tcPr>
          <w:p>
            <w:pPr>
              <w:jc w:val="center"/>
              <w:ind w:right="10"/>
              <w:spacing w:after="0" w:line="182" w:lineRule="exact"/>
              <w:rPr>
                <w:sz w:val="20"/>
                <w:szCs w:val="20"/>
                <w:color w:val="auto"/>
              </w:rPr>
            </w:pPr>
            <w:r>
              <w:rPr>
                <w:rFonts w:ascii="Arial" w:cs="Arial" w:eastAsia="Arial" w:hAnsi="Arial"/>
                <w:sz w:val="16"/>
                <w:szCs w:val="16"/>
                <w:b w:val="1"/>
                <w:bCs w:val="1"/>
                <w:color w:val="auto"/>
                <w:w w:val="94"/>
              </w:rPr>
              <w:t>Fair Value</w:t>
            </w:r>
          </w:p>
        </w:tc>
        <w:tc>
          <w:tcPr>
            <w:tcW w:w="120" w:type="dxa"/>
            <w:vAlign w:val="bottom"/>
          </w:tcPr>
          <w:p>
            <w:pPr>
              <w:spacing w:after="0"/>
              <w:rPr>
                <w:sz w:val="15"/>
                <w:szCs w:val="15"/>
                <w:color w:val="auto"/>
              </w:rPr>
            </w:pPr>
          </w:p>
        </w:tc>
        <w:tc>
          <w:tcPr>
            <w:tcW w:w="880" w:type="dxa"/>
            <w:vAlign w:val="bottom"/>
            <w:tcBorders>
              <w:bottom w:val="single" w:sz="8" w:color="auto"/>
            </w:tcBorders>
            <w:gridSpan w:val="2"/>
          </w:tcPr>
          <w:p>
            <w:pPr>
              <w:jc w:val="center"/>
              <w:spacing w:after="0" w:line="182" w:lineRule="exact"/>
              <w:rPr>
                <w:sz w:val="20"/>
                <w:szCs w:val="20"/>
                <w:color w:val="auto"/>
              </w:rPr>
            </w:pPr>
            <w:r>
              <w:rPr>
                <w:rFonts w:ascii="Arial" w:cs="Arial" w:eastAsia="Arial" w:hAnsi="Arial"/>
                <w:sz w:val="16"/>
                <w:szCs w:val="16"/>
                <w:b w:val="1"/>
                <w:bCs w:val="1"/>
                <w:color w:val="auto"/>
                <w:w w:val="85"/>
              </w:rPr>
              <w:t>thousands)</w:t>
            </w:r>
          </w:p>
        </w:tc>
      </w:tr>
      <w:tr>
        <w:trPr>
          <w:trHeight w:val="239"/>
        </w:trPr>
        <w:tc>
          <w:tcPr>
            <w:tcW w:w="4220" w:type="dxa"/>
            <w:vAlign w:val="bottom"/>
          </w:tcPr>
          <w:p>
            <w:pPr>
              <w:spacing w:after="0"/>
              <w:rPr>
                <w:sz w:val="20"/>
                <w:szCs w:val="20"/>
                <w:color w:val="auto"/>
              </w:rPr>
            </w:pPr>
            <w:r>
              <w:rPr>
                <w:rFonts w:ascii="Arial" w:cs="Arial" w:eastAsia="Arial" w:hAnsi="Arial"/>
                <w:sz w:val="20"/>
                <w:szCs w:val="20"/>
                <w:b w:val="1"/>
                <w:bCs w:val="1"/>
                <w:color w:val="auto"/>
              </w:rPr>
              <w:t>Outstanding at December 31, 2024</w:t>
            </w:r>
          </w:p>
        </w:tc>
        <w:tc>
          <w:tcPr>
            <w:tcW w:w="980" w:type="dxa"/>
            <w:vAlign w:val="bottom"/>
          </w:tcPr>
          <w:p>
            <w:pPr>
              <w:jc w:val="right"/>
              <w:ind w:right="5"/>
              <w:spacing w:after="0"/>
              <w:rPr>
                <w:sz w:val="20"/>
                <w:szCs w:val="20"/>
                <w:color w:val="auto"/>
              </w:rPr>
            </w:pPr>
            <w:r>
              <w:rPr>
                <w:rFonts w:ascii="Arial" w:cs="Arial" w:eastAsia="Arial" w:hAnsi="Arial"/>
                <w:sz w:val="20"/>
                <w:szCs w:val="20"/>
                <w:b w:val="1"/>
                <w:bCs w:val="1"/>
                <w:color w:val="auto"/>
              </w:rPr>
              <w:t>571,308</w:t>
            </w:r>
          </w:p>
        </w:tc>
        <w:tc>
          <w:tcPr>
            <w:tcW w:w="30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ind w:right="7"/>
              <w:spacing w:after="0"/>
              <w:rPr>
                <w:sz w:val="20"/>
                <w:szCs w:val="20"/>
                <w:color w:val="auto"/>
              </w:rPr>
            </w:pPr>
            <w:r>
              <w:rPr>
                <w:rFonts w:ascii="Arial" w:cs="Arial" w:eastAsia="Arial" w:hAnsi="Arial"/>
                <w:sz w:val="20"/>
                <w:szCs w:val="20"/>
                <w:b w:val="1"/>
                <w:bCs w:val="1"/>
                <w:color w:val="auto"/>
              </w:rPr>
              <w:t>50.09</w:t>
            </w:r>
          </w:p>
        </w:tc>
        <w:tc>
          <w:tcPr>
            <w:tcW w:w="120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42"/>
        </w:trPr>
        <w:tc>
          <w:tcPr>
            <w:tcW w:w="4220" w:type="dxa"/>
            <w:vAlign w:val="bottom"/>
          </w:tcPr>
          <w:p>
            <w:pPr>
              <w:ind w:left="200"/>
              <w:spacing w:after="0"/>
              <w:rPr>
                <w:sz w:val="20"/>
                <w:szCs w:val="20"/>
                <w:color w:val="auto"/>
              </w:rPr>
            </w:pPr>
            <w:r>
              <w:rPr>
                <w:rFonts w:ascii="Arial" w:cs="Arial" w:eastAsia="Arial" w:hAnsi="Arial"/>
                <w:sz w:val="20"/>
                <w:szCs w:val="20"/>
                <w:b w:val="1"/>
                <w:bCs w:val="1"/>
                <w:color w:val="auto"/>
              </w:rPr>
              <w:t>Granted</w:t>
            </w:r>
          </w:p>
        </w:tc>
        <w:tc>
          <w:tcPr>
            <w:tcW w:w="980" w:type="dxa"/>
            <w:vAlign w:val="bottom"/>
          </w:tcPr>
          <w:p>
            <w:pPr>
              <w:jc w:val="right"/>
              <w:ind w:right="5"/>
              <w:spacing w:after="0"/>
              <w:rPr>
                <w:sz w:val="20"/>
                <w:szCs w:val="20"/>
                <w:color w:val="auto"/>
              </w:rPr>
            </w:pPr>
            <w:r>
              <w:rPr>
                <w:rFonts w:ascii="Arial" w:cs="Arial" w:eastAsia="Arial" w:hAnsi="Arial"/>
                <w:sz w:val="20"/>
                <w:szCs w:val="20"/>
                <w:b w:val="1"/>
                <w:bCs w:val="1"/>
                <w:color w:val="auto"/>
              </w:rPr>
              <w:t>130,963</w:t>
            </w:r>
          </w:p>
        </w:tc>
        <w:tc>
          <w:tcPr>
            <w:tcW w:w="30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ind w:right="7"/>
              <w:spacing w:after="0"/>
              <w:rPr>
                <w:sz w:val="20"/>
                <w:szCs w:val="20"/>
                <w:color w:val="auto"/>
              </w:rPr>
            </w:pPr>
            <w:r>
              <w:rPr>
                <w:rFonts w:ascii="Arial" w:cs="Arial" w:eastAsia="Arial" w:hAnsi="Arial"/>
                <w:sz w:val="20"/>
                <w:szCs w:val="20"/>
                <w:b w:val="1"/>
                <w:bCs w:val="1"/>
                <w:color w:val="auto"/>
              </w:rPr>
              <w:t>6.95</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right"/>
              <w:ind w:right="10"/>
              <w:spacing w:after="0"/>
              <w:rPr>
                <w:sz w:val="20"/>
                <w:szCs w:val="20"/>
                <w:color w:val="auto"/>
              </w:rPr>
            </w:pPr>
            <w:r>
              <w:rPr>
                <w:rFonts w:ascii="Arial" w:cs="Arial" w:eastAsia="Arial" w:hAnsi="Arial"/>
                <w:sz w:val="20"/>
                <w:szCs w:val="20"/>
                <w:b w:val="1"/>
                <w:bCs w:val="1"/>
                <w:color w:val="auto"/>
              </w:rPr>
              <w:t>5.14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5"/>
        </w:trPr>
        <w:tc>
          <w:tcPr>
            <w:tcW w:w="4220" w:type="dxa"/>
            <w:vAlign w:val="bottom"/>
          </w:tcPr>
          <w:p>
            <w:pPr>
              <w:ind w:left="200"/>
              <w:spacing w:after="0"/>
              <w:rPr>
                <w:sz w:val="20"/>
                <w:szCs w:val="20"/>
                <w:color w:val="auto"/>
              </w:rPr>
            </w:pPr>
            <w:r>
              <w:rPr>
                <w:rFonts w:ascii="Arial" w:cs="Arial" w:eastAsia="Arial" w:hAnsi="Arial"/>
                <w:sz w:val="20"/>
                <w:szCs w:val="20"/>
                <w:b w:val="1"/>
                <w:bCs w:val="1"/>
                <w:color w:val="auto"/>
              </w:rPr>
              <w:t>Exercised</w:t>
            </w:r>
          </w:p>
        </w:tc>
        <w:tc>
          <w:tcPr>
            <w:tcW w:w="980" w:type="dxa"/>
            <w:vAlign w:val="bottom"/>
          </w:tcPr>
          <w:p>
            <w:pPr>
              <w:jc w:val="right"/>
              <w:ind w:right="5"/>
              <w:spacing w:after="0"/>
              <w:rPr>
                <w:sz w:val="20"/>
                <w:szCs w:val="20"/>
                <w:color w:val="auto"/>
              </w:rPr>
            </w:pPr>
            <w:r>
              <w:rPr>
                <w:rFonts w:ascii="Arial" w:cs="Arial" w:eastAsia="Arial" w:hAnsi="Arial"/>
                <w:sz w:val="20"/>
                <w:szCs w:val="20"/>
                <w:b w:val="1"/>
                <w:bCs w:val="1"/>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5"/>
        </w:trPr>
        <w:tc>
          <w:tcPr>
            <w:tcW w:w="4220" w:type="dxa"/>
            <w:vAlign w:val="bottom"/>
          </w:tcPr>
          <w:p>
            <w:pPr>
              <w:ind w:left="200"/>
              <w:spacing w:after="0"/>
              <w:rPr>
                <w:sz w:val="20"/>
                <w:szCs w:val="20"/>
                <w:color w:val="auto"/>
              </w:rPr>
            </w:pPr>
            <w:r>
              <w:rPr>
                <w:rFonts w:ascii="Arial" w:cs="Arial" w:eastAsia="Arial" w:hAnsi="Arial"/>
                <w:sz w:val="20"/>
                <w:szCs w:val="20"/>
                <w:b w:val="1"/>
                <w:bCs w:val="1"/>
                <w:color w:val="auto"/>
              </w:rPr>
              <w:t>Canceled/forfeited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(242,496)</w:t>
            </w:r>
          </w:p>
        </w:tc>
        <w:tc>
          <w:tcPr>
            <w:tcW w:w="30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ind w:right="7"/>
              <w:spacing w:after="0"/>
              <w:rPr>
                <w:sz w:val="20"/>
                <w:szCs w:val="20"/>
                <w:color w:val="auto"/>
              </w:rPr>
            </w:pPr>
            <w:r>
              <w:rPr>
                <w:rFonts w:ascii="Arial" w:cs="Arial" w:eastAsia="Arial" w:hAnsi="Arial"/>
                <w:sz w:val="20"/>
                <w:szCs w:val="20"/>
                <w:b w:val="1"/>
                <w:bCs w:val="1"/>
                <w:color w:val="auto"/>
              </w:rPr>
              <w:t>36.84</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39"/>
        </w:trPr>
        <w:tc>
          <w:tcPr>
            <w:tcW w:w="4220" w:type="dxa"/>
            <w:vAlign w:val="bottom"/>
          </w:tcPr>
          <w:p>
            <w:pPr>
              <w:spacing w:after="0"/>
              <w:rPr>
                <w:sz w:val="20"/>
                <w:szCs w:val="20"/>
                <w:color w:val="auto"/>
              </w:rPr>
            </w:pPr>
            <w:r>
              <w:rPr>
                <w:rFonts w:ascii="Arial" w:cs="Arial" w:eastAsia="Arial" w:hAnsi="Arial"/>
                <w:sz w:val="20"/>
                <w:szCs w:val="20"/>
                <w:b w:val="1"/>
                <w:bCs w:val="1"/>
                <w:color w:val="auto"/>
              </w:rPr>
              <w:t>Outstanding at December 31, 2025</w:t>
            </w: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b w:val="1"/>
                <w:bCs w:val="1"/>
                <w:color w:val="auto"/>
              </w:rPr>
              <w:t>459,775</w:t>
            </w:r>
          </w:p>
        </w:tc>
        <w:tc>
          <w:tcPr>
            <w:tcW w:w="30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ind w:right="7"/>
              <w:spacing w:after="0"/>
              <w:rPr>
                <w:sz w:val="20"/>
                <w:szCs w:val="20"/>
                <w:color w:val="auto"/>
              </w:rPr>
            </w:pPr>
            <w:r>
              <w:rPr>
                <w:rFonts w:ascii="Arial" w:cs="Arial" w:eastAsia="Arial" w:hAnsi="Arial"/>
                <w:sz w:val="20"/>
                <w:szCs w:val="20"/>
                <w:b w:val="1"/>
                <w:bCs w:val="1"/>
                <w:color w:val="auto"/>
              </w:rPr>
              <w:t>6.93</w:t>
            </w:r>
          </w:p>
        </w:tc>
        <w:tc>
          <w:tcPr>
            <w:tcW w:w="120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12</w:t>
            </w:r>
          </w:p>
        </w:tc>
      </w:tr>
      <w:tr>
        <w:trPr>
          <w:trHeight w:val="239"/>
        </w:trPr>
        <w:tc>
          <w:tcPr>
            <w:tcW w:w="4220" w:type="dxa"/>
            <w:vAlign w:val="bottom"/>
          </w:tcPr>
          <w:p>
            <w:pPr>
              <w:ind w:left="200"/>
              <w:spacing w:after="0"/>
              <w:rPr>
                <w:sz w:val="20"/>
                <w:szCs w:val="20"/>
                <w:color w:val="auto"/>
              </w:rPr>
            </w:pPr>
            <w:r>
              <w:rPr>
                <w:rFonts w:ascii="Arial" w:cs="Arial" w:eastAsia="Arial" w:hAnsi="Arial"/>
                <w:sz w:val="20"/>
                <w:szCs w:val="20"/>
                <w:b w:val="1"/>
                <w:bCs w:val="1"/>
                <w:color w:val="auto"/>
              </w:rPr>
              <w:t>Exercisable at December 31, 2025</w:t>
            </w:r>
          </w:p>
        </w:tc>
        <w:tc>
          <w:tcPr>
            <w:tcW w:w="980" w:type="dxa"/>
            <w:vAlign w:val="bottom"/>
          </w:tcPr>
          <w:p>
            <w:pPr>
              <w:jc w:val="right"/>
              <w:ind w:right="5"/>
              <w:spacing w:after="0"/>
              <w:rPr>
                <w:sz w:val="20"/>
                <w:szCs w:val="20"/>
                <w:color w:val="auto"/>
              </w:rPr>
            </w:pPr>
            <w:r>
              <w:rPr>
                <w:rFonts w:ascii="Arial" w:cs="Arial" w:eastAsia="Arial" w:hAnsi="Arial"/>
                <w:sz w:val="20"/>
                <w:szCs w:val="20"/>
                <w:b w:val="1"/>
                <w:bCs w:val="1"/>
                <w:color w:val="auto"/>
              </w:rPr>
              <w:t>354,334</w:t>
            </w:r>
          </w:p>
        </w:tc>
        <w:tc>
          <w:tcPr>
            <w:tcW w:w="30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ind w:right="7"/>
              <w:spacing w:after="0"/>
              <w:rPr>
                <w:sz w:val="20"/>
                <w:szCs w:val="20"/>
                <w:color w:val="auto"/>
              </w:rPr>
            </w:pPr>
            <w:r>
              <w:rPr>
                <w:rFonts w:ascii="Arial" w:cs="Arial" w:eastAsia="Arial" w:hAnsi="Arial"/>
                <w:sz w:val="20"/>
                <w:szCs w:val="20"/>
                <w:b w:val="1"/>
                <w:bCs w:val="1"/>
                <w:color w:val="auto"/>
              </w:rPr>
              <w:t>7.37</w:t>
            </w:r>
          </w:p>
        </w:tc>
        <w:tc>
          <w:tcPr>
            <w:tcW w:w="120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9</w:t>
            </w:r>
          </w:p>
        </w:tc>
      </w:tr>
      <w:tr>
        <w:trPr>
          <w:trHeight w:val="288"/>
        </w:trPr>
        <w:tc>
          <w:tcPr>
            <w:tcW w:w="4220" w:type="dxa"/>
            <w:vAlign w:val="bottom"/>
          </w:tcPr>
          <w:p>
            <w:pPr>
              <w:spacing w:after="0"/>
              <w:rPr>
                <w:sz w:val="20"/>
                <w:szCs w:val="20"/>
                <w:color w:val="auto"/>
              </w:rPr>
            </w:pPr>
            <w:r>
              <w:rPr>
                <w:rFonts w:ascii="Arial" w:cs="Arial" w:eastAsia="Arial" w:hAnsi="Arial"/>
                <w:sz w:val="20"/>
                <w:szCs w:val="20"/>
                <w:b w:val="1"/>
                <w:bCs w:val="1"/>
                <w:color w:val="auto"/>
                <w:w w:val="90"/>
              </w:rPr>
              <w:t>Vested or expected to vest at December 31, 2025</w:t>
            </w:r>
          </w:p>
        </w:tc>
        <w:tc>
          <w:tcPr>
            <w:tcW w:w="980" w:type="dxa"/>
            <w:vAlign w:val="bottom"/>
          </w:tcPr>
          <w:p>
            <w:pPr>
              <w:jc w:val="right"/>
              <w:ind w:right="5"/>
              <w:spacing w:after="0"/>
              <w:rPr>
                <w:sz w:val="20"/>
                <w:szCs w:val="20"/>
                <w:color w:val="auto"/>
              </w:rPr>
            </w:pPr>
            <w:r>
              <w:rPr>
                <w:rFonts w:ascii="Arial" w:cs="Arial" w:eastAsia="Arial" w:hAnsi="Arial"/>
                <w:sz w:val="20"/>
                <w:szCs w:val="20"/>
                <w:b w:val="1"/>
                <w:bCs w:val="1"/>
                <w:color w:val="auto"/>
              </w:rPr>
              <w:t>459,775</w:t>
            </w:r>
          </w:p>
        </w:tc>
        <w:tc>
          <w:tcPr>
            <w:tcW w:w="30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ind w:right="7"/>
              <w:spacing w:after="0"/>
              <w:rPr>
                <w:sz w:val="20"/>
                <w:szCs w:val="20"/>
                <w:color w:val="auto"/>
              </w:rPr>
            </w:pPr>
            <w:r>
              <w:rPr>
                <w:rFonts w:ascii="Arial" w:cs="Arial" w:eastAsia="Arial" w:hAnsi="Arial"/>
                <w:sz w:val="20"/>
                <w:szCs w:val="20"/>
                <w:b w:val="1"/>
                <w:bCs w:val="1"/>
                <w:color w:val="auto"/>
              </w:rPr>
              <w:t>6.93</w:t>
            </w:r>
          </w:p>
        </w:tc>
        <w:tc>
          <w:tcPr>
            <w:tcW w:w="120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6.1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-1154430</wp:posOffset>
            </wp:positionV>
            <wp:extent cx="6189980" cy="77336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89980" cy="7733665"/>
                    </a:xfrm>
                    <a:prstGeom prst="rect">
                      <a:avLst/>
                    </a:prstGeom>
                    <a:noFill/>
                  </pic:spPr>
                </pic:pic>
              </a:graphicData>
            </a:graphic>
          </wp:anchor>
        </w:drawing>
      </w:r>
    </w:p>
    <w:p>
      <w:pPr>
        <w:spacing w:after="0" w:line="265" w:lineRule="exact"/>
        <w:rPr>
          <w:sz w:val="20"/>
          <w:szCs w:val="20"/>
          <w:color w:val="auto"/>
        </w:rPr>
      </w:pPr>
    </w:p>
    <w:p>
      <w:pPr>
        <w:ind w:right="80"/>
        <w:spacing w:after="0" w:line="297" w:lineRule="auto"/>
        <w:rPr>
          <w:sz w:val="20"/>
          <w:szCs w:val="20"/>
          <w:color w:val="auto"/>
        </w:rPr>
      </w:pPr>
      <w:r>
        <w:rPr>
          <w:rFonts w:ascii="Arial" w:cs="Arial" w:eastAsia="Arial" w:hAnsi="Arial"/>
          <w:sz w:val="17"/>
          <w:szCs w:val="17"/>
          <w:b w:val="1"/>
          <w:bCs w:val="1"/>
          <w:color w:val="auto"/>
        </w:rPr>
        <w:t>The intrinsic value of options exercised was zero for both years ended December 31, 2025 and 2024, respectively. As of December 31, 2025, there was approximately $0.8 million of unrecognized stock-based compensation related to unvested stock options, which the Company expects to recognize over a weighted-average period of 1.8 years.</w:t>
      </w:r>
    </w:p>
    <w:p>
      <w:pPr>
        <w:spacing w:after="0" w:line="206" w:lineRule="exact"/>
        <w:rPr>
          <w:sz w:val="20"/>
          <w:szCs w:val="20"/>
          <w:color w:val="auto"/>
        </w:rPr>
      </w:pPr>
    </w:p>
    <w:p>
      <w:pPr>
        <w:spacing w:after="0" w:line="234" w:lineRule="auto"/>
        <w:rPr>
          <w:sz w:val="20"/>
          <w:szCs w:val="20"/>
          <w:color w:val="auto"/>
        </w:rPr>
      </w:pPr>
      <w:r>
        <w:rPr>
          <w:rFonts w:ascii="Arial" w:cs="Arial" w:eastAsia="Arial" w:hAnsi="Arial"/>
          <w:sz w:val="20"/>
          <w:szCs w:val="20"/>
          <w:b w:val="1"/>
          <w:bCs w:val="1"/>
          <w:color w:val="auto"/>
        </w:rPr>
        <w:t>The fair value of each option grant was estimated on the date of grant using the Black-Scholes option-pricing model with the following assumptions:</w:t>
      </w:r>
    </w:p>
    <w:p>
      <w:pPr>
        <w:spacing w:after="0" w:line="246"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480" w:type="dxa"/>
            <w:vAlign w:val="bottom"/>
            <w:gridSpan w:val="4"/>
          </w:tcPr>
          <w:p>
            <w:pPr>
              <w:jc w:val="right"/>
              <w:ind w:right="300"/>
              <w:spacing w:after="0"/>
              <w:rPr>
                <w:sz w:val="20"/>
                <w:szCs w:val="20"/>
                <w:color w:val="auto"/>
              </w:rPr>
            </w:pPr>
            <w:r>
              <w:rPr>
                <w:rFonts w:ascii="Arial" w:cs="Arial" w:eastAsia="Arial" w:hAnsi="Arial"/>
                <w:sz w:val="16"/>
                <w:szCs w:val="16"/>
                <w:b w:val="1"/>
                <w:bCs w:val="1"/>
                <w:color w:val="auto"/>
              </w:rPr>
              <w:t>Years Ended December 31,</w:t>
            </w:r>
          </w:p>
        </w:tc>
      </w:tr>
      <w:tr>
        <w:trPr>
          <w:trHeight w:val="193"/>
        </w:trPr>
        <w:tc>
          <w:tcPr>
            <w:tcW w:w="428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6"/>
                <w:szCs w:val="16"/>
                <w:color w:val="auto"/>
              </w:rPr>
            </w:pPr>
          </w:p>
        </w:tc>
      </w:tr>
      <w:tr>
        <w:trPr>
          <w:trHeight w:val="239"/>
        </w:trPr>
        <w:tc>
          <w:tcPr>
            <w:tcW w:w="4280" w:type="dxa"/>
            <w:vAlign w:val="bottom"/>
          </w:tcPr>
          <w:p>
            <w:pPr>
              <w:spacing w:after="0"/>
              <w:rPr>
                <w:sz w:val="20"/>
                <w:szCs w:val="20"/>
                <w:color w:val="auto"/>
              </w:rPr>
            </w:pPr>
            <w:r>
              <w:rPr>
                <w:rFonts w:ascii="Arial" w:cs="Arial" w:eastAsia="Arial" w:hAnsi="Arial"/>
                <w:sz w:val="20"/>
                <w:szCs w:val="20"/>
                <w:b w:val="1"/>
                <w:bCs w:val="1"/>
                <w:color w:val="auto"/>
              </w:rPr>
              <w:t>Expected volatility</w:t>
            </w:r>
          </w:p>
        </w:tc>
        <w:tc>
          <w:tcPr>
            <w:tcW w:w="1300" w:type="dxa"/>
            <w:vAlign w:val="bottom"/>
            <w:gridSpan w:val="2"/>
          </w:tcPr>
          <w:p>
            <w:pPr>
              <w:jc w:val="right"/>
              <w:spacing w:after="0"/>
              <w:rPr>
                <w:sz w:val="20"/>
                <w:szCs w:val="20"/>
                <w:color w:val="auto"/>
              </w:rPr>
            </w:pPr>
            <w:r>
              <w:rPr>
                <w:rFonts w:ascii="Arial" w:cs="Arial" w:eastAsia="Arial" w:hAnsi="Arial"/>
                <w:sz w:val="20"/>
                <w:szCs w:val="20"/>
                <w:b w:val="1"/>
                <w:bCs w:val="1"/>
                <w:color w:val="auto"/>
              </w:rPr>
              <w:t>87-91 %</w:t>
            </w:r>
          </w:p>
        </w:tc>
        <w:tc>
          <w:tcPr>
            <w:tcW w:w="1180" w:type="dxa"/>
            <w:vAlign w:val="bottom"/>
            <w:gridSpan w:val="2"/>
          </w:tcPr>
          <w:p>
            <w:pPr>
              <w:jc w:val="right"/>
              <w:spacing w:after="0"/>
              <w:rPr>
                <w:sz w:val="20"/>
                <w:szCs w:val="20"/>
                <w:color w:val="auto"/>
              </w:rPr>
            </w:pPr>
            <w:r>
              <w:rPr>
                <w:rFonts w:ascii="Arial" w:cs="Arial" w:eastAsia="Arial" w:hAnsi="Arial"/>
                <w:sz w:val="20"/>
                <w:szCs w:val="20"/>
                <w:b w:val="1"/>
                <w:bCs w:val="1"/>
                <w:color w:val="auto"/>
              </w:rPr>
              <w:t xml:space="preserve">98-105 </w:t>
            </w:r>
            <w:r>
              <w:rPr>
                <w:rFonts w:ascii="Arial" w:cs="Arial" w:eastAsia="Arial" w:hAnsi="Arial"/>
                <w:sz w:val="20"/>
                <w:szCs w:val="20"/>
                <w:b w:val="1"/>
                <w:bCs w:val="1"/>
                <w:color w:val="auto"/>
                <w:shd w:val="clear" w:color="auto" w:fill="E5E5E5"/>
              </w:rPr>
              <w:t>%</w:t>
            </w:r>
          </w:p>
        </w:tc>
      </w:tr>
      <w:tr>
        <w:trPr>
          <w:trHeight w:val="242"/>
        </w:trPr>
        <w:tc>
          <w:tcPr>
            <w:tcW w:w="4280" w:type="dxa"/>
            <w:vAlign w:val="bottom"/>
          </w:tcPr>
          <w:p>
            <w:pPr>
              <w:spacing w:after="0"/>
              <w:rPr>
                <w:sz w:val="20"/>
                <w:szCs w:val="20"/>
                <w:color w:val="auto"/>
              </w:rPr>
            </w:pPr>
            <w:r>
              <w:rPr>
                <w:rFonts w:ascii="Arial" w:cs="Arial" w:eastAsia="Arial" w:hAnsi="Arial"/>
                <w:sz w:val="20"/>
                <w:szCs w:val="20"/>
                <w:b w:val="1"/>
                <w:bCs w:val="1"/>
                <w:color w:val="auto"/>
              </w:rPr>
              <w:t>Risk-free interest rate</w:t>
            </w:r>
          </w:p>
        </w:tc>
        <w:tc>
          <w:tcPr>
            <w:tcW w:w="1300" w:type="dxa"/>
            <w:vAlign w:val="bottom"/>
            <w:gridSpan w:val="2"/>
          </w:tcPr>
          <w:p>
            <w:pPr>
              <w:jc w:val="right"/>
              <w:spacing w:after="0"/>
              <w:rPr>
                <w:sz w:val="20"/>
                <w:szCs w:val="20"/>
                <w:color w:val="auto"/>
              </w:rPr>
            </w:pPr>
            <w:r>
              <w:rPr>
                <w:rFonts w:ascii="Arial" w:cs="Arial" w:eastAsia="Arial" w:hAnsi="Arial"/>
                <w:sz w:val="20"/>
                <w:szCs w:val="20"/>
                <w:b w:val="1"/>
                <w:bCs w:val="1"/>
                <w:color w:val="auto"/>
              </w:rPr>
              <w:t>3.8-4.2 %</w:t>
            </w:r>
          </w:p>
        </w:tc>
        <w:tc>
          <w:tcPr>
            <w:tcW w:w="1180" w:type="dxa"/>
            <w:vAlign w:val="bottom"/>
            <w:gridSpan w:val="2"/>
          </w:tcPr>
          <w:p>
            <w:pPr>
              <w:jc w:val="right"/>
              <w:spacing w:after="0"/>
              <w:rPr>
                <w:sz w:val="20"/>
                <w:szCs w:val="20"/>
                <w:color w:val="auto"/>
              </w:rPr>
            </w:pPr>
            <w:r>
              <w:rPr>
                <w:rFonts w:ascii="Arial" w:cs="Arial" w:eastAsia="Arial" w:hAnsi="Arial"/>
                <w:sz w:val="20"/>
                <w:szCs w:val="20"/>
                <w:b w:val="1"/>
                <w:bCs w:val="1"/>
                <w:color w:val="auto"/>
              </w:rPr>
              <w:t>3.7-4.7 %</w:t>
            </w:r>
          </w:p>
        </w:tc>
      </w:tr>
      <w:tr>
        <w:trPr>
          <w:trHeight w:val="245"/>
        </w:trPr>
        <w:tc>
          <w:tcPr>
            <w:tcW w:w="4280" w:type="dxa"/>
            <w:vAlign w:val="bottom"/>
          </w:tcPr>
          <w:p>
            <w:pPr>
              <w:spacing w:after="0"/>
              <w:rPr>
                <w:sz w:val="20"/>
                <w:szCs w:val="20"/>
                <w:color w:val="auto"/>
              </w:rPr>
            </w:pPr>
            <w:r>
              <w:rPr>
                <w:rFonts w:ascii="Arial" w:cs="Arial" w:eastAsia="Arial" w:hAnsi="Arial"/>
                <w:sz w:val="20"/>
                <w:szCs w:val="20"/>
                <w:b w:val="1"/>
                <w:bCs w:val="1"/>
                <w:color w:val="auto"/>
              </w:rPr>
              <w:t>Expected option life (in years)</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5.2-6.1</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5.2-6.1</w:t>
            </w:r>
          </w:p>
        </w:tc>
        <w:tc>
          <w:tcPr>
            <w:tcW w:w="160" w:type="dxa"/>
            <w:vAlign w:val="bottom"/>
          </w:tcPr>
          <w:p>
            <w:pPr>
              <w:spacing w:after="0"/>
              <w:rPr>
                <w:sz w:val="21"/>
                <w:szCs w:val="21"/>
                <w:color w:val="auto"/>
              </w:rPr>
            </w:pPr>
          </w:p>
        </w:tc>
      </w:tr>
      <w:tr>
        <w:trPr>
          <w:trHeight w:val="245"/>
        </w:trPr>
        <w:tc>
          <w:tcPr>
            <w:tcW w:w="4280" w:type="dxa"/>
            <w:vAlign w:val="bottom"/>
          </w:tcPr>
          <w:p>
            <w:pPr>
              <w:spacing w:after="0"/>
              <w:rPr>
                <w:sz w:val="20"/>
                <w:szCs w:val="20"/>
                <w:color w:val="auto"/>
              </w:rPr>
            </w:pPr>
            <w:r>
              <w:rPr>
                <w:rFonts w:ascii="Arial" w:cs="Arial" w:eastAsia="Arial" w:hAnsi="Arial"/>
                <w:sz w:val="20"/>
                <w:szCs w:val="20"/>
                <w:b w:val="1"/>
                <w:bCs w:val="1"/>
                <w:color w:val="auto"/>
              </w:rPr>
              <w:t>Expected dividend yield</w:t>
            </w:r>
          </w:p>
        </w:tc>
        <w:tc>
          <w:tcPr>
            <w:tcW w:w="1300" w:type="dxa"/>
            <w:vAlign w:val="bottom"/>
            <w:gridSpan w:val="2"/>
          </w:tcPr>
          <w:p>
            <w:pPr>
              <w:jc w:val="right"/>
              <w:spacing w:after="0"/>
              <w:rPr>
                <w:sz w:val="20"/>
                <w:szCs w:val="20"/>
                <w:color w:val="auto"/>
              </w:rPr>
            </w:pPr>
            <w:r>
              <w:rPr>
                <w:rFonts w:ascii="Arial" w:cs="Arial" w:eastAsia="Arial" w:hAnsi="Arial"/>
                <w:sz w:val="20"/>
                <w:szCs w:val="20"/>
                <w:b w:val="1"/>
                <w:bCs w:val="1"/>
                <w:color w:val="auto"/>
              </w:rPr>
              <w:t>— %</w:t>
            </w:r>
          </w:p>
        </w:tc>
        <w:tc>
          <w:tcPr>
            <w:tcW w:w="1180" w:type="dxa"/>
            <w:vAlign w:val="bottom"/>
            <w:gridSpan w:val="2"/>
          </w:tcPr>
          <w:p>
            <w:pPr>
              <w:jc w:val="right"/>
              <w:spacing w:after="0"/>
              <w:rPr>
                <w:sz w:val="20"/>
                <w:szCs w:val="20"/>
                <w:color w:val="auto"/>
              </w:rPr>
            </w:pPr>
            <w:r>
              <w:rPr>
                <w:rFonts w:ascii="Arial" w:cs="Arial" w:eastAsia="Arial" w:hAnsi="Arial"/>
                <w:sz w:val="20"/>
                <w:szCs w:val="20"/>
                <w:b w:val="1"/>
                <w:bCs w:val="1"/>
                <w:color w:val="auto"/>
              </w:rPr>
              <w:t>— %</w:t>
            </w:r>
          </w:p>
        </w:tc>
      </w:tr>
      <w:tr>
        <w:trPr>
          <w:trHeight w:val="242"/>
        </w:trPr>
        <w:tc>
          <w:tcPr>
            <w:tcW w:w="4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$5.44 -</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$11.22-</w:t>
            </w:r>
          </w:p>
        </w:tc>
        <w:tc>
          <w:tcPr>
            <w:tcW w:w="160" w:type="dxa"/>
            <w:vAlign w:val="bottom"/>
          </w:tcPr>
          <w:p>
            <w:pPr>
              <w:spacing w:after="0"/>
              <w:rPr>
                <w:sz w:val="21"/>
                <w:szCs w:val="2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20"/>
                <w:szCs w:val="20"/>
                <w:b w:val="1"/>
                <w:bCs w:val="1"/>
                <w:color w:val="auto"/>
              </w:rPr>
              <w:t>Fair value per share of common stock</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$9.76</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$25.40</w:t>
            </w:r>
          </w:p>
        </w:tc>
        <w:tc>
          <w:tcPr>
            <w:tcW w:w="160" w:type="dxa"/>
            <w:vAlign w:val="bottom"/>
          </w:tcPr>
          <w:p>
            <w:pPr>
              <w:spacing w:after="0"/>
              <w:rPr>
                <w:sz w:val="20"/>
                <w:szCs w:val="20"/>
                <w:color w:val="auto"/>
              </w:rPr>
            </w:pPr>
          </w:p>
        </w:tc>
      </w:tr>
    </w:tbl>
    <w:p>
      <w:pPr>
        <w:spacing w:after="0" w:line="24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Expected Term–The expected term of options granted represents the period of time that the options are expected to be outstanding. Due to the lack of historical exercise history, the expected term of the Company’s employee stock options has been determined utilizing the simplified method for awards that qualify as plain-vanilla options, which use the midpoint between the vesting date and the expiration date of each option.</w:t>
      </w:r>
    </w:p>
    <w:p>
      <w:pPr>
        <w:spacing w:after="0" w:line="224" w:lineRule="exact"/>
        <w:rPr>
          <w:sz w:val="20"/>
          <w:szCs w:val="20"/>
          <w:color w:val="auto"/>
        </w:rPr>
      </w:pPr>
    </w:p>
    <w:p>
      <w:pPr>
        <w:ind w:right="260"/>
        <w:spacing w:after="0" w:line="234" w:lineRule="auto"/>
        <w:rPr>
          <w:sz w:val="20"/>
          <w:szCs w:val="20"/>
          <w:color w:val="auto"/>
        </w:rPr>
      </w:pPr>
      <w:r>
        <w:rPr>
          <w:rFonts w:ascii="Arial" w:cs="Arial" w:eastAsia="Arial" w:hAnsi="Arial"/>
          <w:sz w:val="20"/>
          <w:szCs w:val="20"/>
          <w:b w:val="1"/>
          <w:bCs w:val="1"/>
          <w:color w:val="auto"/>
        </w:rPr>
        <w:t>Expected Volatility–The estimated volatility was based on the historical volatility of the common stock of a group of publicly traded companies deemed comparable to the Company.</w:t>
      </w:r>
    </w:p>
    <w:p>
      <w:pPr>
        <w:spacing w:after="0" w:line="252" w:lineRule="exact"/>
        <w:rPr>
          <w:sz w:val="20"/>
          <w:szCs w:val="20"/>
          <w:color w:val="auto"/>
        </w:rPr>
      </w:pPr>
    </w:p>
    <w:p>
      <w:pPr>
        <w:ind w:right="80"/>
        <w:spacing w:after="0" w:line="312" w:lineRule="auto"/>
        <w:rPr>
          <w:sz w:val="20"/>
          <w:szCs w:val="20"/>
          <w:color w:val="auto"/>
        </w:rPr>
      </w:pPr>
      <w:r>
        <w:rPr>
          <w:rFonts w:ascii="Arial" w:cs="Arial" w:eastAsia="Arial" w:hAnsi="Arial"/>
          <w:sz w:val="17"/>
          <w:szCs w:val="17"/>
          <w:b w:val="1"/>
          <w:bCs w:val="1"/>
          <w:color w:val="auto"/>
        </w:rPr>
        <w:t>Risk-Free Interest Rate–The risk-free interest rate is the implied yield in effect at the time of the option grant based on U.S. Treasury securities with contract maturities equal to the expected term of the Company’s stock options.</w:t>
      </w:r>
    </w:p>
    <w:p>
      <w:pPr>
        <w:spacing w:after="0" w:line="193" w:lineRule="exact"/>
        <w:rPr>
          <w:sz w:val="20"/>
          <w:szCs w:val="20"/>
          <w:color w:val="auto"/>
        </w:rPr>
      </w:pPr>
    </w:p>
    <w:p>
      <w:pPr>
        <w:ind w:right="20"/>
        <w:spacing w:after="0" w:line="309" w:lineRule="auto"/>
        <w:rPr>
          <w:sz w:val="20"/>
          <w:szCs w:val="20"/>
          <w:color w:val="auto"/>
        </w:rPr>
      </w:pPr>
      <w:r>
        <w:rPr>
          <w:rFonts w:ascii="Arial" w:cs="Arial" w:eastAsia="Arial" w:hAnsi="Arial"/>
          <w:sz w:val="17"/>
          <w:szCs w:val="17"/>
          <w:b w:val="1"/>
          <w:bCs w:val="1"/>
          <w:color w:val="auto"/>
        </w:rPr>
        <w:t>Dividend Rate–The Company has not paid any cash dividends on common stock since inception and does not anticipate paying any dividends in the foreseeable future. Consequently, an expected dividend yield of zero was used.</w:t>
      </w:r>
    </w:p>
    <w:p>
      <w:pPr>
        <w:spacing w:after="0" w:line="195" w:lineRule="exact"/>
        <w:rPr>
          <w:sz w:val="20"/>
          <w:szCs w:val="20"/>
          <w:color w:val="auto"/>
        </w:rPr>
      </w:pPr>
    </w:p>
    <w:p>
      <w:pPr>
        <w:ind w:right="160"/>
        <w:spacing w:after="0" w:line="254" w:lineRule="auto"/>
        <w:rPr>
          <w:sz w:val="20"/>
          <w:szCs w:val="20"/>
          <w:color w:val="auto"/>
        </w:rPr>
      </w:pPr>
      <w:r>
        <w:rPr>
          <w:rFonts w:ascii="Arial" w:cs="Arial" w:eastAsia="Arial" w:hAnsi="Arial"/>
          <w:sz w:val="19"/>
          <w:szCs w:val="19"/>
          <w:b w:val="1"/>
          <w:bCs w:val="1"/>
          <w:color w:val="auto"/>
        </w:rPr>
        <w:t>Fair Value of Common Stock– The fair value of the Company’s common stock is determined by the closing price, on the date of grant, of its common stock, which is traded on the Nasdaq Capital Market.</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 Expense</w:t>
      </w:r>
    </w:p>
    <w:p>
      <w:pPr>
        <w:spacing w:after="0" w:line="131" w:lineRule="exact"/>
        <w:rPr>
          <w:sz w:val="20"/>
          <w:szCs w:val="20"/>
          <w:color w:val="auto"/>
        </w:rPr>
      </w:pPr>
    </w:p>
    <w:p>
      <w:pPr>
        <w:ind w:right="340"/>
        <w:spacing w:after="0" w:line="234" w:lineRule="auto"/>
        <w:rPr>
          <w:sz w:val="20"/>
          <w:szCs w:val="20"/>
          <w:color w:val="auto"/>
        </w:rPr>
      </w:pPr>
      <w:r>
        <w:rPr>
          <w:rFonts w:ascii="Arial" w:cs="Arial" w:eastAsia="Arial" w:hAnsi="Arial"/>
          <w:sz w:val="20"/>
          <w:szCs w:val="20"/>
          <w:b w:val="1"/>
          <w:bCs w:val="1"/>
          <w:color w:val="auto"/>
        </w:rPr>
        <w:t>The following table summarizes the components of stock-based compensation expense recognized in the Company’s statement of operations and comprehensive loss (in thousands):</w:t>
      </w:r>
    </w:p>
    <w:p>
      <w:pPr>
        <w:spacing w:after="0" w:line="244" w:lineRule="exact"/>
        <w:rPr>
          <w:sz w:val="20"/>
          <w:szCs w:val="20"/>
          <w:color w:val="auto"/>
        </w:rPr>
      </w:pPr>
    </w:p>
    <w:tbl>
      <w:tblPr>
        <w:tblLayout w:type="fixed"/>
        <w:tblInd w:w="146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6"/>
                <w:szCs w:val="16"/>
                <w:b w:val="1"/>
                <w:bCs w:val="1"/>
                <w:color w:val="auto"/>
                <w:w w:val="91"/>
              </w:rPr>
              <w:t>Years Ended December 31,</w:t>
            </w:r>
          </w:p>
        </w:tc>
      </w:tr>
      <w:tr>
        <w:trPr>
          <w:trHeight w:val="194"/>
        </w:trPr>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b w:val="1"/>
                <w:bCs w:val="1"/>
                <w:color w:val="auto"/>
              </w:rPr>
              <w:t>2024</w:t>
            </w:r>
          </w:p>
        </w:tc>
      </w:tr>
      <w:tr>
        <w:trPr>
          <w:trHeight w:val="239"/>
        </w:trPr>
        <w:tc>
          <w:tcPr>
            <w:tcW w:w="4540" w:type="dxa"/>
            <w:vAlign w:val="bottom"/>
          </w:tcPr>
          <w:p>
            <w:pPr>
              <w:spacing w:after="0"/>
              <w:rPr>
                <w:sz w:val="20"/>
                <w:szCs w:val="20"/>
                <w:color w:val="auto"/>
              </w:rPr>
            </w:pPr>
            <w:r>
              <w:rPr>
                <w:rFonts w:ascii="Arial" w:cs="Arial" w:eastAsia="Arial" w:hAnsi="Arial"/>
                <w:sz w:val="20"/>
                <w:szCs w:val="20"/>
                <w:b w:val="1"/>
                <w:bCs w:val="1"/>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1,162</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3,152</w:t>
            </w:r>
          </w:p>
        </w:tc>
      </w:tr>
      <w:tr>
        <w:trPr>
          <w:trHeight w:val="243"/>
        </w:trPr>
        <w:tc>
          <w:tcPr>
            <w:tcW w:w="4540" w:type="dxa"/>
            <w:vAlign w:val="bottom"/>
          </w:tcPr>
          <w:p>
            <w:pPr>
              <w:spacing w:after="0"/>
              <w:rPr>
                <w:sz w:val="20"/>
                <w:szCs w:val="20"/>
                <w:color w:val="auto"/>
              </w:rPr>
            </w:pPr>
            <w:r>
              <w:rPr>
                <w:rFonts w:ascii="Arial" w:cs="Arial" w:eastAsia="Arial" w:hAnsi="Arial"/>
                <w:sz w:val="20"/>
                <w:szCs w:val="20"/>
                <w:b w:val="1"/>
                <w:bCs w:val="1"/>
                <w:color w:val="auto"/>
              </w:rPr>
              <w:t>General and administrative</w:t>
            </w: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1,620</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4,255</w:t>
            </w:r>
          </w:p>
        </w:tc>
      </w:tr>
      <w:tr>
        <w:trPr>
          <w:trHeight w:val="239"/>
        </w:trPr>
        <w:tc>
          <w:tcPr>
            <w:tcW w:w="454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2,782</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7,407</w:t>
            </w:r>
          </w:p>
        </w:tc>
      </w:tr>
    </w:tbl>
    <w:p>
      <w:pPr>
        <w:spacing w:after="0" w:line="200" w:lineRule="exact"/>
        <w:rPr>
          <w:sz w:val="20"/>
          <w:szCs w:val="20"/>
          <w:color w:val="auto"/>
        </w:rPr>
      </w:pPr>
    </w:p>
    <w:p>
      <w:pPr>
        <w:sectPr>
          <w:pgSz w:w="12240" w:h="15840" w:orient="portrait"/>
          <w:cols w:equalWidth="0" w:num="1">
            <w:col w:w="9700"/>
          </w:cols>
          <w:pgMar w:left="1260" w:top="1093" w:right="1280" w:bottom="181"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104</w:t>
      </w:r>
    </w:p>
    <w:p>
      <w:pPr>
        <w:sectPr>
          <w:pgSz w:w="12240" w:h="15840" w:orient="portrait"/>
          <w:cols w:equalWidth="0" w:num="1">
            <w:col w:w="9700"/>
          </w:cols>
          <w:pgMar w:left="1260" w:top="1093" w:right="1280" w:bottom="181" w:gutter="0" w:footer="0" w:header="0"/>
          <w:type w:val="continuous"/>
        </w:sectPr>
      </w:pPr>
    </w:p>
    <w:bookmarkStart w:id="144" w:name="page145"/>
    <w:bookmarkEnd w:id="144"/>
    <w:p>
      <w:pPr>
        <w:spacing w:after="0"/>
        <w:rPr>
          <w:sz w:val="20"/>
          <w:szCs w:val="20"/>
          <w:color w:val="auto"/>
        </w:rPr>
      </w:pPr>
      <w:r>
        <w:rPr>
          <w:rFonts w:ascii="Arial" w:cs="Arial" w:eastAsia="Arial" w:hAnsi="Arial"/>
          <w:sz w:val="20"/>
          <w:szCs w:val="20"/>
          <w:b w:val="1"/>
          <w:bCs w:val="1"/>
          <w:color w:val="auto"/>
        </w:rPr>
        <w:t>Repricing of Stock Options</w:t>
      </w:r>
    </w:p>
    <w:p>
      <w:pPr>
        <w:spacing w:after="0" w:line="129"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b w:val="1"/>
          <w:bCs w:val="1"/>
          <w:color w:val="auto"/>
        </w:rPr>
        <w:t>On December 12, 2025, the Board of Directors of the Company approved amendments to certain outstanding stock options to purchase shares of the Company’s common stock to reduce the per-share exercise price of such options to the closing price of the Company’s common stock on the Nasdaq Capital Market on December 12, 2025, which was $5.44 (the “Repricing”).</w:t>
      </w:r>
    </w:p>
    <w:p>
      <w:pPr>
        <w:spacing w:after="0" w:line="172"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b w:val="1"/>
          <w:bCs w:val="1"/>
          <w:color w:val="auto"/>
        </w:rPr>
        <w:t>The Repricing applied to (i) outstanding stock options granted under the Company’s 2015 Equity Incentive Plan that were held by eligible employees and service providers who affirmatively consented to the Repricing and (ii) outstanding stock options granted under the Company’s 2021 Equity Incentive Plan, which were repriced without requiring participant consent (collectively, the “Eligible Options”). The Eligible Options included options held by certain executive officers and non-employee directors. Only options with an exercise price per share greater than $5.44 immediately prior to the Repricing were eligible to participate.</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Except as described below, the Eligible Options remain subject to their original terms and conditions following the Repricing, including the number of shares underlying the options, vesting schedules and expiration dates. With respect to Eligible Options that were incentive stock options (“ISOs”), the Repricing resulted in the following consequences under U.S. federal income tax rules governing ISOs: (i) the two-year holding period for ISO qualification restarted on the date of the Repricing, and (ii) the $100,000 annual ISO exercisability limitation was recalculated as of the Repricing Date. To the extent the aggregate fair market value of shares underlying ISOs that first become exercisable in any calendar year exceeds $100,000 (determined based on the applicable exercise prices), the portion of such options in excess of the limit will be treated as non-statutory stock options.</w:t>
      </w:r>
    </w:p>
    <w:p>
      <w:pPr>
        <w:spacing w:after="0" w:line="22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color w:val="auto"/>
        </w:rPr>
        <w:t>As of the date of the Repricing, the total number of shares underlying all Eligible Options was approximately 438,000 shares. For the year ended December 31, 2025, the Company recognized incremental stock-based compensation expense totaling $0.5 million associated with the Repricing, which is included in research and development and general and administrative expense on the statement of operations. The change was treated as a modification under ASC 718, Stock Compensation, in which the fair value of the Eligible Options was remeasured at the modification date and compared to the fair value of the modified award immediately prior to the modification, with the difference resulting in incremental stock-based compensation expense. The incremental stock-based compensation expense was calculated using the Black-Scholes option-pricing model.</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Units</w:t>
      </w:r>
    </w:p>
    <w:p>
      <w:pPr>
        <w:spacing w:after="0" w:line="172"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b w:val="1"/>
          <w:bCs w:val="1"/>
          <w:color w:val="auto"/>
        </w:rPr>
        <w:t>In December 2021, the Company issued 16,800 restricted stock units ("RSUs") under the 2021 Plan at a grant date fair value of $90.20 per share. These RSUs vested in equal quarterly installments over three years, subject to the employee's continued employment with, or services to, the Company on each vesting date. Each RSU represented the right to receive one share of the Company's common stock if the applicable vesting conditions were satisfied. As of December 31, 2024, all such RSUs had vested and the shares thereunder issued.</w:t>
      </w:r>
    </w:p>
    <w:p>
      <w:pPr>
        <w:spacing w:after="0" w:line="105"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b w:val="1"/>
          <w:bCs w:val="1"/>
          <w:color w:val="auto"/>
        </w:rPr>
        <w:t>In October 2025, the Company issued 249,500 RSUs under the 2021 Plan at a grant date fair value of $5.61 per share. These RSUs vest on September 15, 2026, subject to the employee's continued employment with, or services to, the Company on the vesting date. Each RSU represents the right to receive one share of the Company's common stock when and if the applicable vesting conditions are satisfied.</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summarizes the activity of the restricted stock units during the year ended December 31, 2025:</w:t>
      </w:r>
    </w:p>
    <w:p>
      <w:pPr>
        <w:spacing w:after="0" w:line="269"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28"/>
              <w:spacing w:after="0"/>
              <w:rPr>
                <w:sz w:val="20"/>
                <w:szCs w:val="20"/>
                <w:color w:val="auto"/>
              </w:rPr>
            </w:pPr>
            <w:r>
              <w:rPr>
                <w:rFonts w:ascii="Arial" w:cs="Arial" w:eastAsia="Arial" w:hAnsi="Arial"/>
                <w:sz w:val="16"/>
                <w:szCs w:val="16"/>
                <w:b w:val="1"/>
                <w:bCs w:val="1"/>
                <w:color w:val="auto"/>
                <w:w w:val="93"/>
              </w:rPr>
              <w:t>Weighted-</w:t>
            </w:r>
          </w:p>
        </w:tc>
      </w:tr>
      <w:tr>
        <w:trPr>
          <w:trHeight w:val="185"/>
        </w:trPr>
        <w:tc>
          <w:tcPr>
            <w:tcW w:w="4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w w:val="91"/>
              </w:rPr>
              <w:t>average Grant</w:t>
            </w:r>
          </w:p>
        </w:tc>
      </w:tr>
      <w:tr>
        <w:trPr>
          <w:trHeight w:val="185"/>
        </w:trPr>
        <w:tc>
          <w:tcPr>
            <w:tcW w:w="4540" w:type="dxa"/>
            <w:vAlign w:val="bottom"/>
          </w:tcPr>
          <w:p>
            <w:pPr>
              <w:spacing w:after="0"/>
              <w:rPr>
                <w:sz w:val="16"/>
                <w:szCs w:val="16"/>
                <w:color w:val="auto"/>
              </w:rPr>
            </w:pPr>
          </w:p>
        </w:tc>
        <w:tc>
          <w:tcPr>
            <w:tcW w:w="1060" w:type="dxa"/>
            <w:vAlign w:val="bottom"/>
          </w:tcPr>
          <w:p>
            <w:pPr>
              <w:jc w:val="right"/>
              <w:ind w:right="306"/>
              <w:spacing w:after="0"/>
              <w:rPr>
                <w:sz w:val="20"/>
                <w:szCs w:val="20"/>
                <w:color w:val="auto"/>
              </w:rPr>
            </w:pPr>
            <w:r>
              <w:rPr>
                <w:rFonts w:ascii="Arial" w:cs="Arial" w:eastAsia="Arial" w:hAnsi="Arial"/>
                <w:sz w:val="16"/>
                <w:szCs w:val="16"/>
                <w:b w:val="1"/>
                <w:bCs w:val="1"/>
                <w:color w:val="auto"/>
              </w:rPr>
              <w:t>RSU</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48"/>
              <w:spacing w:after="0"/>
              <w:rPr>
                <w:sz w:val="20"/>
                <w:szCs w:val="20"/>
                <w:color w:val="auto"/>
              </w:rPr>
            </w:pPr>
            <w:r>
              <w:rPr>
                <w:rFonts w:ascii="Arial" w:cs="Arial" w:eastAsia="Arial" w:hAnsi="Arial"/>
                <w:sz w:val="16"/>
                <w:szCs w:val="16"/>
                <w:b w:val="1"/>
                <w:bCs w:val="1"/>
                <w:color w:val="auto"/>
                <w:w w:val="96"/>
              </w:rPr>
              <w:t>Date Fair</w:t>
            </w:r>
          </w:p>
        </w:tc>
      </w:tr>
      <w:tr>
        <w:trPr>
          <w:trHeight w:val="183"/>
        </w:trPr>
        <w:tc>
          <w:tcPr>
            <w:tcW w:w="4540" w:type="dxa"/>
            <w:vAlign w:val="bottom"/>
          </w:tcPr>
          <w:p>
            <w:pPr>
              <w:spacing w:after="0"/>
              <w:rPr>
                <w:sz w:val="15"/>
                <w:szCs w:val="15"/>
                <w:color w:val="auto"/>
              </w:rPr>
            </w:pPr>
          </w:p>
        </w:tc>
        <w:tc>
          <w:tcPr>
            <w:tcW w:w="1060" w:type="dxa"/>
            <w:vAlign w:val="bottom"/>
            <w:tcBorders>
              <w:bottom w:val="single" w:sz="8" w:color="auto"/>
            </w:tcBorders>
          </w:tcPr>
          <w:p>
            <w:pPr>
              <w:jc w:val="right"/>
              <w:ind w:right="46"/>
              <w:spacing w:after="0" w:line="182" w:lineRule="exact"/>
              <w:rPr>
                <w:sz w:val="20"/>
                <w:szCs w:val="20"/>
                <w:color w:val="auto"/>
              </w:rPr>
            </w:pPr>
            <w:r>
              <w:rPr>
                <w:rFonts w:ascii="Arial" w:cs="Arial" w:eastAsia="Arial" w:hAnsi="Arial"/>
                <w:sz w:val="16"/>
                <w:szCs w:val="16"/>
                <w:b w:val="1"/>
                <w:bCs w:val="1"/>
                <w:color w:val="auto"/>
                <w:w w:val="95"/>
              </w:rPr>
              <w:t>Outstanding</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8"/>
              <w:spacing w:after="0" w:line="182" w:lineRule="exact"/>
              <w:rPr>
                <w:sz w:val="20"/>
                <w:szCs w:val="20"/>
                <w:color w:val="auto"/>
              </w:rPr>
            </w:pPr>
            <w:r>
              <w:rPr>
                <w:rFonts w:ascii="Arial" w:cs="Arial" w:eastAsia="Arial" w:hAnsi="Arial"/>
                <w:sz w:val="16"/>
                <w:szCs w:val="16"/>
                <w:b w:val="1"/>
                <w:bCs w:val="1"/>
                <w:color w:val="auto"/>
                <w:w w:val="93"/>
              </w:rPr>
              <w:t>Value</w:t>
            </w:r>
          </w:p>
        </w:tc>
      </w:tr>
      <w:tr>
        <w:trPr>
          <w:trHeight w:val="239"/>
        </w:trPr>
        <w:tc>
          <w:tcPr>
            <w:tcW w:w="4540" w:type="dxa"/>
            <w:vAlign w:val="bottom"/>
          </w:tcPr>
          <w:p>
            <w:pPr>
              <w:spacing w:after="0"/>
              <w:rPr>
                <w:sz w:val="20"/>
                <w:szCs w:val="20"/>
                <w:color w:val="auto"/>
              </w:rPr>
            </w:pPr>
            <w:r>
              <w:rPr>
                <w:rFonts w:ascii="Arial" w:cs="Arial" w:eastAsia="Arial" w:hAnsi="Arial"/>
                <w:sz w:val="20"/>
                <w:szCs w:val="20"/>
                <w:b w:val="1"/>
                <w:bCs w:val="1"/>
                <w:color w:val="auto"/>
              </w:rPr>
              <w:t>Outstanding at December 31, 2024</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40" w:type="dxa"/>
            <w:vAlign w:val="bottom"/>
            <w:gridSpan w:val="2"/>
          </w:tcPr>
          <w:p>
            <w:pPr>
              <w:ind w:left="120"/>
              <w:spacing w:after="0"/>
              <w:rPr>
                <w:sz w:val="20"/>
                <w:szCs w:val="20"/>
                <w:color w:val="auto"/>
              </w:rPr>
            </w:pPr>
            <w:r>
              <w:rPr>
                <w:rFonts w:ascii="Arial" w:cs="Arial" w:eastAsia="Arial" w:hAnsi="Arial"/>
                <w:sz w:val="20"/>
                <w:szCs w:val="20"/>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42"/>
        </w:trPr>
        <w:tc>
          <w:tcPr>
            <w:tcW w:w="4540" w:type="dxa"/>
            <w:vAlign w:val="bottom"/>
          </w:tcPr>
          <w:p>
            <w:pPr>
              <w:ind w:left="200"/>
              <w:spacing w:after="0"/>
              <w:rPr>
                <w:sz w:val="20"/>
                <w:szCs w:val="20"/>
                <w:color w:val="auto"/>
              </w:rPr>
            </w:pPr>
            <w:r>
              <w:rPr>
                <w:rFonts w:ascii="Arial" w:cs="Arial" w:eastAsia="Arial" w:hAnsi="Arial"/>
                <w:sz w:val="20"/>
                <w:szCs w:val="20"/>
                <w:b w:val="1"/>
                <w:bCs w:val="1"/>
                <w:color w:val="auto"/>
              </w:rPr>
              <w:t>Granted</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249,500</w:t>
            </w:r>
          </w:p>
        </w:tc>
        <w:tc>
          <w:tcPr>
            <w:tcW w:w="240" w:type="dxa"/>
            <w:vAlign w:val="bottom"/>
            <w:gridSpan w:val="2"/>
          </w:tcPr>
          <w:p>
            <w:pPr>
              <w:ind w:left="120"/>
              <w:spacing w:after="0"/>
              <w:rPr>
                <w:sz w:val="20"/>
                <w:szCs w:val="20"/>
                <w:color w:val="auto"/>
              </w:rPr>
            </w:pPr>
            <w:r>
              <w:rPr>
                <w:rFonts w:ascii="Arial" w:cs="Arial" w:eastAsia="Arial" w:hAnsi="Arial"/>
                <w:sz w:val="20"/>
                <w:szCs w:val="20"/>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5.61</w:t>
            </w:r>
          </w:p>
        </w:tc>
      </w:tr>
      <w:tr>
        <w:trPr>
          <w:trHeight w:val="245"/>
        </w:trPr>
        <w:tc>
          <w:tcPr>
            <w:tcW w:w="4540" w:type="dxa"/>
            <w:vAlign w:val="bottom"/>
          </w:tcPr>
          <w:p>
            <w:pPr>
              <w:ind w:left="200"/>
              <w:spacing w:after="0"/>
              <w:rPr>
                <w:sz w:val="20"/>
                <w:szCs w:val="20"/>
                <w:color w:val="auto"/>
              </w:rPr>
            </w:pPr>
            <w:r>
              <w:rPr>
                <w:rFonts w:ascii="Arial" w:cs="Arial" w:eastAsia="Arial" w:hAnsi="Arial"/>
                <w:sz w:val="20"/>
                <w:szCs w:val="20"/>
                <w:b w:val="1"/>
                <w:bCs w:val="1"/>
                <w:color w:val="auto"/>
              </w:rPr>
              <w:t>Vested</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40" w:type="dxa"/>
            <w:vAlign w:val="bottom"/>
            <w:gridSpan w:val="2"/>
          </w:tcPr>
          <w:p>
            <w:pPr>
              <w:ind w:left="120"/>
              <w:spacing w:after="0"/>
              <w:rPr>
                <w:sz w:val="20"/>
                <w:szCs w:val="20"/>
                <w:color w:val="auto"/>
              </w:rPr>
            </w:pPr>
            <w:r>
              <w:rPr>
                <w:rFonts w:ascii="Arial" w:cs="Arial" w:eastAsia="Arial" w:hAnsi="Arial"/>
                <w:sz w:val="20"/>
                <w:szCs w:val="20"/>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45"/>
        </w:trPr>
        <w:tc>
          <w:tcPr>
            <w:tcW w:w="4540" w:type="dxa"/>
            <w:vAlign w:val="bottom"/>
          </w:tcPr>
          <w:p>
            <w:pPr>
              <w:ind w:left="200"/>
              <w:spacing w:after="0"/>
              <w:rPr>
                <w:sz w:val="20"/>
                <w:szCs w:val="20"/>
                <w:color w:val="auto"/>
              </w:rPr>
            </w:pPr>
            <w:r>
              <w:rPr>
                <w:rFonts w:ascii="Arial" w:cs="Arial" w:eastAsia="Arial" w:hAnsi="Arial"/>
                <w:sz w:val="20"/>
                <w:szCs w:val="20"/>
                <w:b w:val="1"/>
                <w:bCs w:val="1"/>
                <w:color w:val="auto"/>
              </w:rPr>
              <w:t>Canceled/forfeited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240" w:type="dxa"/>
            <w:vAlign w:val="bottom"/>
            <w:gridSpan w:val="2"/>
          </w:tcPr>
          <w:p>
            <w:pPr>
              <w:ind w:left="120"/>
              <w:spacing w:after="0"/>
              <w:rPr>
                <w:sz w:val="20"/>
                <w:szCs w:val="20"/>
                <w:color w:val="auto"/>
              </w:rPr>
            </w:pPr>
            <w:r>
              <w:rPr>
                <w:rFonts w:ascii="Arial" w:cs="Arial" w:eastAsia="Arial" w:hAnsi="Arial"/>
                <w:sz w:val="20"/>
                <w:szCs w:val="20"/>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36"/>
        </w:trPr>
        <w:tc>
          <w:tcPr>
            <w:tcW w:w="4540" w:type="dxa"/>
            <w:vAlign w:val="bottom"/>
          </w:tcPr>
          <w:p>
            <w:pPr>
              <w:spacing w:after="0"/>
              <w:rPr>
                <w:sz w:val="20"/>
                <w:szCs w:val="20"/>
                <w:color w:val="auto"/>
              </w:rPr>
            </w:pPr>
            <w:r>
              <w:rPr>
                <w:rFonts w:ascii="Arial" w:cs="Arial" w:eastAsia="Arial" w:hAnsi="Arial"/>
                <w:sz w:val="20"/>
                <w:szCs w:val="20"/>
                <w:b w:val="1"/>
                <w:bCs w:val="1"/>
                <w:color w:val="auto"/>
              </w:rPr>
              <w:t>Outstanding at December 31, 2025</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249,500</w:t>
            </w:r>
          </w:p>
        </w:tc>
        <w:tc>
          <w:tcPr>
            <w:tcW w:w="240" w:type="dxa"/>
            <w:vAlign w:val="bottom"/>
            <w:gridSpan w:val="2"/>
          </w:tcPr>
          <w:p>
            <w:pPr>
              <w:ind w:left="120"/>
              <w:spacing w:after="0"/>
              <w:rPr>
                <w:sz w:val="20"/>
                <w:szCs w:val="20"/>
                <w:color w:val="auto"/>
              </w:rPr>
            </w:pPr>
            <w:r>
              <w:rPr>
                <w:rFonts w:ascii="Arial" w:cs="Arial" w:eastAsia="Arial" w:hAnsi="Arial"/>
                <w:sz w:val="20"/>
                <w:szCs w:val="20"/>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5.61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-805180</wp:posOffset>
            </wp:positionV>
            <wp:extent cx="4339590" cy="8483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39590" cy="848360"/>
                    </a:xfrm>
                    <a:prstGeom prst="rect">
                      <a:avLst/>
                    </a:prstGeom>
                    <a:noFill/>
                  </pic:spPr>
                </pic:pic>
              </a:graphicData>
            </a:graphic>
          </wp:anchor>
        </w:drawing>
      </w:r>
    </w:p>
    <w:p>
      <w:pPr>
        <w:spacing w:after="0" w:line="267" w:lineRule="exact"/>
        <w:rPr>
          <w:sz w:val="20"/>
          <w:szCs w:val="20"/>
          <w:color w:val="auto"/>
        </w:rPr>
      </w:pPr>
    </w:p>
    <w:p>
      <w:pPr>
        <w:ind w:right="240"/>
        <w:spacing w:after="0" w:line="386" w:lineRule="auto"/>
        <w:rPr>
          <w:sz w:val="20"/>
          <w:szCs w:val="20"/>
          <w:color w:val="auto"/>
        </w:rPr>
      </w:pPr>
      <w:r>
        <w:rPr>
          <w:rFonts w:ascii="Arial" w:cs="Arial" w:eastAsia="Arial" w:hAnsi="Arial"/>
          <w:sz w:val="15"/>
          <w:szCs w:val="15"/>
          <w:b w:val="1"/>
          <w:bCs w:val="1"/>
          <w:color w:val="auto"/>
        </w:rPr>
        <w:t>The intrinsic value of RSUs was $1.4 million and zero during years ended December 31, 2025 and 2024, respectively. As of December 31, 2025, total unrecognized stock-based compensation expense relating to unvested restricted stock</w:t>
      </w:r>
    </w:p>
    <w:p>
      <w:pPr>
        <w:sectPr>
          <w:pgSz w:w="12240" w:h="15840" w:orient="portrait"/>
          <w:cols w:equalWidth="0" w:num="1">
            <w:col w:w="9700"/>
          </w:cols>
          <w:pgMar w:left="1260" w:top="1429" w:right="1280" w:bottom="181"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105</w:t>
      </w:r>
    </w:p>
    <w:p>
      <w:pPr>
        <w:sectPr>
          <w:pgSz w:w="12240" w:h="15840" w:orient="portrait"/>
          <w:cols w:equalWidth="0" w:num="1">
            <w:col w:w="9700"/>
          </w:cols>
          <w:pgMar w:left="1260" w:top="1429" w:right="1280" w:bottom="181" w:gutter="0" w:footer="0" w:header="0"/>
          <w:type w:val="continuous"/>
        </w:sectPr>
      </w:pPr>
    </w:p>
    <w:bookmarkStart w:id="145" w:name="page146"/>
    <w:bookmarkEnd w:id="145"/>
    <w:p>
      <w:pPr>
        <w:spacing w:after="0"/>
        <w:rPr>
          <w:sz w:val="20"/>
          <w:szCs w:val="20"/>
          <w:color w:val="auto"/>
        </w:rPr>
      </w:pPr>
      <w:r>
        <w:rPr>
          <w:rFonts w:ascii="Arial" w:cs="Arial" w:eastAsia="Arial" w:hAnsi="Arial"/>
          <w:sz w:val="20"/>
          <w:szCs w:val="20"/>
          <w:b w:val="1"/>
          <w:bCs w:val="1"/>
          <w:color w:val="auto"/>
        </w:rPr>
        <w:t>units was $1.1 million and the weighted-average remaining vesting period was 0.7 years.</w:t>
      </w:r>
    </w:p>
    <w:p>
      <w:pPr>
        <w:spacing w:after="0" w:line="284"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As of December 31, 2025, 249,500 RSUs were unvested and outstanding.</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Net Loss Per Share</w:t>
      </w:r>
    </w:p>
    <w:p>
      <w:pPr>
        <w:spacing w:after="0" w:line="131" w:lineRule="exact"/>
        <w:rPr>
          <w:sz w:val="20"/>
          <w:szCs w:val="20"/>
          <w:color w:val="auto"/>
        </w:rPr>
      </w:pPr>
    </w:p>
    <w:p>
      <w:pPr>
        <w:ind w:right="180"/>
        <w:spacing w:after="0" w:line="236" w:lineRule="auto"/>
        <w:rPr>
          <w:sz w:val="20"/>
          <w:szCs w:val="20"/>
          <w:color w:val="auto"/>
        </w:rPr>
      </w:pPr>
      <w:r>
        <w:rPr>
          <w:rFonts w:ascii="Arial" w:cs="Arial" w:eastAsia="Arial" w:hAnsi="Arial"/>
          <w:sz w:val="20"/>
          <w:szCs w:val="20"/>
          <w:b w:val="1"/>
          <w:bCs w:val="1"/>
          <w:color w:val="auto"/>
        </w:rPr>
        <w:t>The following table sets forth the computation of the Company’s basic and diluted net loss per share attributable to common stockholders, which excludes shares which are legally outstanding, but subject to repurchase by the Company (in thousands, except share and per share amounts):</w:t>
      </w:r>
    </w:p>
    <w:p>
      <w:pPr>
        <w:spacing w:after="0" w:line="292"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jc w:val="right"/>
              <w:ind w:right="240"/>
              <w:spacing w:after="0"/>
              <w:rPr>
                <w:sz w:val="20"/>
                <w:szCs w:val="20"/>
                <w:color w:val="auto"/>
              </w:rPr>
            </w:pPr>
            <w:r>
              <w:rPr>
                <w:rFonts w:ascii="Arial" w:cs="Arial" w:eastAsia="Arial" w:hAnsi="Arial"/>
                <w:sz w:val="16"/>
                <w:szCs w:val="16"/>
                <w:b w:val="1"/>
                <w:bCs w:val="1"/>
                <w:color w:val="auto"/>
                <w:w w:val="91"/>
              </w:rPr>
              <w:t>Years Ended December 31,</w:t>
            </w:r>
          </w:p>
        </w:tc>
      </w:tr>
      <w:tr>
        <w:trPr>
          <w:trHeight w:val="194"/>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6"/>
                <w:szCs w:val="16"/>
                <w:color w:val="auto"/>
              </w:rPr>
            </w:pPr>
          </w:p>
        </w:tc>
      </w:tr>
      <w:tr>
        <w:trPr>
          <w:trHeight w:val="238"/>
        </w:trPr>
        <w:tc>
          <w:tcPr>
            <w:tcW w:w="4280" w:type="dxa"/>
            <w:vAlign w:val="bottom"/>
          </w:tcPr>
          <w:p>
            <w:pPr>
              <w:spacing w:after="0"/>
              <w:rPr>
                <w:sz w:val="20"/>
                <w:szCs w:val="20"/>
                <w:color w:val="auto"/>
              </w:rPr>
            </w:pPr>
            <w:r>
              <w:rPr>
                <w:rFonts w:ascii="Arial" w:cs="Arial" w:eastAsia="Arial" w:hAnsi="Arial"/>
                <w:sz w:val="20"/>
                <w:szCs w:val="20"/>
                <w:b w:val="1"/>
                <w:bCs w:val="1"/>
                <w:color w:val="auto"/>
              </w:rPr>
              <w:t>Numerator:</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4280" w:type="dxa"/>
            <w:vAlign w:val="bottom"/>
          </w:tcPr>
          <w:p>
            <w:pPr>
              <w:ind w:left="200"/>
              <w:spacing w:after="0"/>
              <w:rPr>
                <w:sz w:val="20"/>
                <w:szCs w:val="20"/>
                <w:color w:val="auto"/>
              </w:rPr>
            </w:pPr>
            <w:r>
              <w:rPr>
                <w:rFonts w:ascii="Arial" w:cs="Arial" w:eastAsia="Arial" w:hAnsi="Arial"/>
                <w:sz w:val="20"/>
                <w:szCs w:val="20"/>
                <w:b w:val="1"/>
                <w:bCs w:val="1"/>
                <w:color w:val="auto"/>
              </w:rPr>
              <w:t>Net loss</w:t>
            </w:r>
          </w:p>
        </w:tc>
        <w:tc>
          <w:tcPr>
            <w:tcW w:w="36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(33,376)</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20"/>
                <w:szCs w:val="20"/>
                <w:b w:val="1"/>
                <w:bCs w:val="1"/>
                <w:color w:val="auto"/>
              </w:rPr>
              <w:t>(63,118)</w:t>
            </w:r>
          </w:p>
        </w:tc>
      </w:tr>
      <w:tr>
        <w:trPr>
          <w:trHeight w:val="288"/>
        </w:trPr>
        <w:tc>
          <w:tcPr>
            <w:tcW w:w="4280" w:type="dxa"/>
            <w:vAlign w:val="bottom"/>
          </w:tcPr>
          <w:p>
            <w:pPr>
              <w:spacing w:after="0"/>
              <w:rPr>
                <w:sz w:val="20"/>
                <w:szCs w:val="20"/>
                <w:color w:val="auto"/>
              </w:rPr>
            </w:pPr>
            <w:r>
              <w:rPr>
                <w:rFonts w:ascii="Arial" w:cs="Arial" w:eastAsia="Arial" w:hAnsi="Arial"/>
                <w:sz w:val="20"/>
                <w:szCs w:val="20"/>
                <w:b w:val="1"/>
                <w:bCs w:val="1"/>
                <w:color w:val="auto"/>
              </w:rPr>
              <w:t>Denominator:</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4280" w:type="dxa"/>
            <w:vAlign w:val="bottom"/>
          </w:tcPr>
          <w:p>
            <w:pPr>
              <w:ind w:left="200"/>
              <w:spacing w:after="0"/>
              <w:rPr>
                <w:sz w:val="20"/>
                <w:szCs w:val="20"/>
                <w:color w:val="auto"/>
              </w:rPr>
            </w:pPr>
            <w:r>
              <w:rPr>
                <w:rFonts w:ascii="Arial" w:cs="Arial" w:eastAsia="Arial" w:hAnsi="Arial"/>
                <w:sz w:val="20"/>
                <w:szCs w:val="20"/>
                <w:b w:val="1"/>
                <w:bCs w:val="1"/>
                <w:color w:val="auto"/>
                <w:w w:val="90"/>
              </w:rPr>
              <w:t>Weighted average common shares outstanding</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6"/>
              <w:spacing w:after="0"/>
              <w:rPr>
                <w:sz w:val="20"/>
                <w:szCs w:val="20"/>
                <w:color w:val="auto"/>
              </w:rPr>
            </w:pPr>
            <w:r>
              <w:rPr>
                <w:rFonts w:ascii="Arial" w:cs="Arial" w:eastAsia="Arial" w:hAnsi="Arial"/>
                <w:sz w:val="20"/>
                <w:szCs w:val="20"/>
                <w:b w:val="1"/>
                <w:bCs w:val="1"/>
                <w:color w:val="auto"/>
                <w:w w:val="94"/>
              </w:rPr>
              <w:t>1,918,457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w w:val="92"/>
              </w:rPr>
              <w:t>1,910,519</w:t>
            </w:r>
          </w:p>
        </w:tc>
        <w:tc>
          <w:tcPr>
            <w:tcW w:w="80" w:type="dxa"/>
            <w:vAlign w:val="bottom"/>
          </w:tcPr>
          <w:p>
            <w:pPr>
              <w:spacing w:after="0"/>
              <w:rPr>
                <w:sz w:val="21"/>
                <w:szCs w:val="21"/>
                <w:color w:val="auto"/>
              </w:rPr>
            </w:pPr>
          </w:p>
        </w:tc>
      </w:tr>
      <w:tr>
        <w:trPr>
          <w:trHeight w:val="242"/>
        </w:trPr>
        <w:tc>
          <w:tcPr>
            <w:tcW w:w="4280" w:type="dxa"/>
            <w:vAlign w:val="bottom"/>
          </w:tcPr>
          <w:p>
            <w:pPr>
              <w:ind w:left="200"/>
              <w:spacing w:after="0"/>
              <w:rPr>
                <w:sz w:val="20"/>
                <w:szCs w:val="20"/>
                <w:color w:val="auto"/>
              </w:rPr>
            </w:pPr>
            <w:r>
              <w:rPr>
                <w:rFonts w:ascii="Arial" w:cs="Arial" w:eastAsia="Arial" w:hAnsi="Arial"/>
                <w:sz w:val="20"/>
                <w:szCs w:val="20"/>
                <w:b w:val="1"/>
                <w:bCs w:val="1"/>
                <w:color w:val="auto"/>
                <w:w w:val="92"/>
              </w:rPr>
              <w:t>Weighted average common stock outstanding</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4280" w:type="dxa"/>
            <w:vAlign w:val="bottom"/>
          </w:tcPr>
          <w:p>
            <w:pPr>
              <w:ind w:left="200"/>
              <w:spacing w:after="0"/>
              <w:rPr>
                <w:sz w:val="20"/>
                <w:szCs w:val="20"/>
                <w:color w:val="auto"/>
              </w:rPr>
            </w:pPr>
            <w:r>
              <w:rPr>
                <w:rFonts w:ascii="Arial" w:cs="Arial" w:eastAsia="Arial" w:hAnsi="Arial"/>
                <w:sz w:val="20"/>
                <w:szCs w:val="20"/>
                <w:b w:val="1"/>
                <w:bCs w:val="1"/>
                <w:color w:val="auto"/>
                <w:w w:val="87"/>
              </w:rPr>
              <w:t>subject to cancellation related to restricted stock</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4280" w:type="dxa"/>
            <w:vAlign w:val="bottom"/>
          </w:tcPr>
          <w:p>
            <w:pPr>
              <w:ind w:left="200"/>
              <w:spacing w:after="0"/>
              <w:rPr>
                <w:sz w:val="20"/>
                <w:szCs w:val="20"/>
                <w:color w:val="auto"/>
              </w:rPr>
            </w:pPr>
            <w:r>
              <w:rPr>
                <w:rFonts w:ascii="Arial" w:cs="Arial" w:eastAsia="Arial" w:hAnsi="Arial"/>
                <w:sz w:val="20"/>
                <w:szCs w:val="20"/>
                <w:b w:val="1"/>
                <w:bCs w:val="1"/>
                <w:color w:val="auto"/>
              </w:rPr>
              <w:t>units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(48,533)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b w:val="1"/>
                <w:bCs w:val="1"/>
                <w:color w:val="auto"/>
              </w:rPr>
              <w:t>(1,294)</w:t>
            </w:r>
          </w:p>
        </w:tc>
      </w:tr>
      <w:tr>
        <w:trPr>
          <w:trHeight w:val="239"/>
        </w:trPr>
        <w:tc>
          <w:tcPr>
            <w:tcW w:w="4280" w:type="dxa"/>
            <w:vAlign w:val="bottom"/>
          </w:tcPr>
          <w:p>
            <w:pPr>
              <w:ind w:left="200"/>
              <w:spacing w:after="0"/>
              <w:rPr>
                <w:sz w:val="20"/>
                <w:szCs w:val="20"/>
                <w:color w:val="auto"/>
              </w:rPr>
            </w:pPr>
            <w:r>
              <w:rPr>
                <w:rFonts w:ascii="Arial" w:cs="Arial" w:eastAsia="Arial" w:hAnsi="Arial"/>
                <w:sz w:val="20"/>
                <w:szCs w:val="20"/>
                <w:b w:val="1"/>
                <w:bCs w:val="1"/>
                <w:color w:val="auto"/>
                <w:w w:val="87"/>
              </w:rPr>
              <w:t>Weighted average common shares outstanding -</w:t>
            </w: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4280" w:type="dxa"/>
            <w:vAlign w:val="bottom"/>
          </w:tcPr>
          <w:p>
            <w:pPr>
              <w:ind w:left="200"/>
              <w:spacing w:after="0"/>
              <w:rPr>
                <w:sz w:val="20"/>
                <w:szCs w:val="20"/>
                <w:color w:val="auto"/>
              </w:rPr>
            </w:pPr>
            <w:r>
              <w:rPr>
                <w:rFonts w:ascii="Arial" w:cs="Arial" w:eastAsia="Arial" w:hAnsi="Arial"/>
                <w:sz w:val="20"/>
                <w:szCs w:val="20"/>
                <w:b w:val="1"/>
                <w:bCs w:val="1"/>
                <w:color w:val="auto"/>
              </w:rPr>
              <w:t>basic and diluted</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20"/>
                <w:szCs w:val="20"/>
                <w:b w:val="1"/>
                <w:bCs w:val="1"/>
                <w:color w:val="auto"/>
                <w:w w:val="94"/>
              </w:rPr>
              <w:t>1,869,924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2"/>
              </w:rPr>
              <w:t>1,909,225</w:t>
            </w:r>
          </w:p>
        </w:tc>
        <w:tc>
          <w:tcPr>
            <w:tcW w:w="80" w:type="dxa"/>
            <w:vAlign w:val="bottom"/>
          </w:tcPr>
          <w:p>
            <w:pPr>
              <w:spacing w:after="0"/>
              <w:rPr>
                <w:sz w:val="20"/>
                <w:szCs w:val="20"/>
                <w:color w:val="auto"/>
              </w:rPr>
            </w:pPr>
          </w:p>
        </w:tc>
      </w:tr>
      <w:tr>
        <w:trPr>
          <w:trHeight w:val="239"/>
        </w:trPr>
        <w:tc>
          <w:tcPr>
            <w:tcW w:w="4280" w:type="dxa"/>
            <w:vAlign w:val="bottom"/>
          </w:tcPr>
          <w:p>
            <w:pPr>
              <w:spacing w:after="0"/>
              <w:rPr>
                <w:sz w:val="20"/>
                <w:szCs w:val="20"/>
                <w:color w:val="auto"/>
              </w:rPr>
            </w:pPr>
            <w:r>
              <w:rPr>
                <w:rFonts w:ascii="Arial" w:cs="Arial" w:eastAsia="Arial" w:hAnsi="Arial"/>
                <w:sz w:val="20"/>
                <w:szCs w:val="20"/>
                <w:b w:val="1"/>
                <w:bCs w:val="1"/>
                <w:color w:val="auto"/>
              </w:rPr>
              <w:t>Net loss per share attributable to common</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20"/>
                <w:szCs w:val="20"/>
                <w:b w:val="1"/>
                <w:bCs w:val="1"/>
                <w:color w:val="auto"/>
              </w:rPr>
              <w:t>stockholders, basic and diluted</w:t>
            </w:r>
          </w:p>
        </w:tc>
        <w:tc>
          <w:tcPr>
            <w:tcW w:w="36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(17.85)</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20"/>
                <w:szCs w:val="20"/>
                <w:b w:val="1"/>
                <w:bCs w:val="1"/>
                <w:color w:val="auto"/>
              </w:rPr>
              <w:t>(33.06)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-1873885</wp:posOffset>
            </wp:positionV>
            <wp:extent cx="4339590" cy="37699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39590" cy="3769995"/>
                    </a:xfrm>
                    <a:prstGeom prst="rect">
                      <a:avLst/>
                    </a:prstGeom>
                    <a:noFill/>
                  </pic:spPr>
                </pic:pic>
              </a:graphicData>
            </a:graphic>
          </wp:anchor>
        </w:drawing>
      </w:r>
    </w:p>
    <w:p>
      <w:pPr>
        <w:spacing w:after="0" w:line="310"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b w:val="1"/>
          <w:bCs w:val="1"/>
          <w:color w:val="auto"/>
        </w:rPr>
        <w:t>Potentially dilutive shares to be issued under the ESPP as of December 31, 2025 and 2024 were not included in the calculation of diluted net loss per share because they would be anti-dilutive and were immaterial. In addition, potential dilutive securities not included in the calculation of diluted net loss per share because to do so would be anti-dilutive are as follows (in common stock equivalent shares):</w:t>
      </w:r>
    </w:p>
    <w:p>
      <w:pPr>
        <w:spacing w:after="0" w:line="279"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216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w w:val="96"/>
              </w:rPr>
              <w:t>Years Ended December 31,</w:t>
            </w:r>
          </w:p>
        </w:tc>
      </w:tr>
      <w:tr>
        <w:trPr>
          <w:trHeight w:val="193"/>
        </w:trPr>
        <w:tc>
          <w:tcPr>
            <w:tcW w:w="4560" w:type="dxa"/>
            <w:vAlign w:val="bottom"/>
          </w:tcPr>
          <w:p>
            <w:pPr>
              <w:spacing w:after="0"/>
              <w:rPr>
                <w:sz w:val="16"/>
                <w:szCs w:val="16"/>
                <w:color w:val="auto"/>
              </w:rPr>
            </w:pPr>
          </w:p>
        </w:tc>
        <w:tc>
          <w:tcPr>
            <w:tcW w:w="10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6"/>
                <w:szCs w:val="16"/>
                <w:b w:val="1"/>
                <w:bCs w:val="1"/>
                <w:color w:val="auto"/>
              </w:rPr>
              <w:t>2024</w:t>
            </w:r>
          </w:p>
        </w:tc>
      </w:tr>
      <w:tr>
        <w:trPr>
          <w:trHeight w:val="239"/>
        </w:trPr>
        <w:tc>
          <w:tcPr>
            <w:tcW w:w="4560" w:type="dxa"/>
            <w:vAlign w:val="bottom"/>
          </w:tcPr>
          <w:p>
            <w:pPr>
              <w:spacing w:after="0"/>
              <w:rPr>
                <w:sz w:val="20"/>
                <w:szCs w:val="20"/>
                <w:color w:val="auto"/>
              </w:rPr>
            </w:pPr>
            <w:r>
              <w:rPr>
                <w:rFonts w:ascii="Arial" w:cs="Arial" w:eastAsia="Arial" w:hAnsi="Arial"/>
                <w:sz w:val="20"/>
                <w:szCs w:val="20"/>
                <w:b w:val="1"/>
                <w:bCs w:val="1"/>
                <w:color w:val="auto"/>
              </w:rPr>
              <w:t>Common stock options issued and outstanding</w:t>
            </w:r>
          </w:p>
        </w:tc>
        <w:tc>
          <w:tcPr>
            <w:tcW w:w="1060" w:type="dxa"/>
            <w:vAlign w:val="bottom"/>
          </w:tcPr>
          <w:p>
            <w:pPr>
              <w:ind w:left="340"/>
              <w:spacing w:after="0"/>
              <w:rPr>
                <w:sz w:val="20"/>
                <w:szCs w:val="20"/>
                <w:color w:val="auto"/>
              </w:rPr>
            </w:pPr>
            <w:r>
              <w:rPr>
                <w:rFonts w:ascii="Arial" w:cs="Arial" w:eastAsia="Arial" w:hAnsi="Arial"/>
                <w:sz w:val="20"/>
                <w:szCs w:val="20"/>
                <w:b w:val="1"/>
                <w:bCs w:val="1"/>
                <w:color w:val="auto"/>
                <w:w w:val="96"/>
              </w:rPr>
              <w:t>459,775</w:t>
            </w:r>
          </w:p>
        </w:tc>
        <w:tc>
          <w:tcPr>
            <w:tcW w:w="1100" w:type="dxa"/>
            <w:vAlign w:val="bottom"/>
            <w:gridSpan w:val="2"/>
          </w:tcPr>
          <w:p>
            <w:pPr>
              <w:jc w:val="right"/>
              <w:spacing w:after="0"/>
              <w:rPr>
                <w:sz w:val="20"/>
                <w:szCs w:val="20"/>
                <w:color w:val="auto"/>
              </w:rPr>
            </w:pPr>
            <w:r>
              <w:rPr>
                <w:rFonts w:ascii="Arial" w:cs="Arial" w:eastAsia="Arial" w:hAnsi="Arial"/>
                <w:sz w:val="20"/>
                <w:szCs w:val="20"/>
                <w:b w:val="1"/>
                <w:bCs w:val="1"/>
                <w:color w:val="auto"/>
              </w:rPr>
              <w:t>571,308</w:t>
            </w:r>
          </w:p>
        </w:tc>
      </w:tr>
      <w:tr>
        <w:trPr>
          <w:trHeight w:val="242"/>
        </w:trPr>
        <w:tc>
          <w:tcPr>
            <w:tcW w:w="4560" w:type="dxa"/>
            <w:vAlign w:val="bottom"/>
          </w:tcPr>
          <w:p>
            <w:pPr>
              <w:spacing w:after="0"/>
              <w:rPr>
                <w:sz w:val="20"/>
                <w:szCs w:val="20"/>
                <w:color w:val="auto"/>
              </w:rPr>
            </w:pPr>
            <w:r>
              <w:rPr>
                <w:rFonts w:ascii="Arial" w:cs="Arial" w:eastAsia="Arial" w:hAnsi="Arial"/>
                <w:sz w:val="20"/>
                <w:szCs w:val="20"/>
                <w:b w:val="1"/>
                <w:bCs w:val="1"/>
                <w:color w:val="auto"/>
                <w:w w:val="93"/>
              </w:rPr>
              <w:t>Common stock outstanding subject to cancellation</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1"/>
        </w:trPr>
        <w:tc>
          <w:tcPr>
            <w:tcW w:w="4560" w:type="dxa"/>
            <w:vAlign w:val="bottom"/>
          </w:tcPr>
          <w:p>
            <w:pPr>
              <w:spacing w:after="0"/>
              <w:rPr>
                <w:sz w:val="20"/>
                <w:szCs w:val="20"/>
                <w:color w:val="auto"/>
              </w:rPr>
            </w:pPr>
            <w:r>
              <w:rPr>
                <w:rFonts w:ascii="Arial" w:cs="Arial" w:eastAsia="Arial" w:hAnsi="Arial"/>
                <w:sz w:val="20"/>
                <w:szCs w:val="20"/>
                <w:b w:val="1"/>
                <w:bCs w:val="1"/>
                <w:color w:val="auto"/>
              </w:rPr>
              <w:t>related to restricted stock units</w:t>
            </w:r>
          </w:p>
        </w:tc>
        <w:tc>
          <w:tcPr>
            <w:tcW w:w="1060" w:type="dxa"/>
            <w:vAlign w:val="bottom"/>
            <w:tcBorders>
              <w:bottom w:val="single" w:sz="8" w:color="auto"/>
            </w:tcBorders>
          </w:tcPr>
          <w:p>
            <w:pPr>
              <w:ind w:left="340"/>
              <w:spacing w:after="0"/>
              <w:rPr>
                <w:sz w:val="20"/>
                <w:szCs w:val="20"/>
                <w:color w:val="auto"/>
              </w:rPr>
            </w:pPr>
            <w:r>
              <w:rPr>
                <w:rFonts w:ascii="Arial" w:cs="Arial" w:eastAsia="Arial" w:hAnsi="Arial"/>
                <w:sz w:val="20"/>
                <w:szCs w:val="20"/>
                <w:b w:val="1"/>
                <w:bCs w:val="1"/>
                <w:color w:val="auto"/>
                <w:w w:val="96"/>
              </w:rPr>
              <w:t>249,500</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r>
      <w:tr>
        <w:trPr>
          <w:trHeight w:val="239"/>
        </w:trPr>
        <w:tc>
          <w:tcPr>
            <w:tcW w:w="4560" w:type="dxa"/>
            <w:vAlign w:val="bottom"/>
          </w:tcPr>
          <w:p>
            <w:pPr>
              <w:ind w:left="200"/>
              <w:spacing w:after="0"/>
              <w:rPr>
                <w:sz w:val="20"/>
                <w:szCs w:val="20"/>
                <w:color w:val="auto"/>
              </w:rPr>
            </w:pPr>
            <w:r>
              <w:rPr>
                <w:rFonts w:ascii="Arial" w:cs="Arial" w:eastAsia="Arial" w:hAnsi="Arial"/>
                <w:sz w:val="20"/>
                <w:szCs w:val="20"/>
                <w:b w:val="1"/>
                <w:bCs w:val="1"/>
                <w:color w:val="auto"/>
              </w:rPr>
              <w:t>Total</w:t>
            </w:r>
          </w:p>
        </w:tc>
        <w:tc>
          <w:tcPr>
            <w:tcW w:w="1060" w:type="dxa"/>
            <w:vAlign w:val="bottom"/>
          </w:tcPr>
          <w:p>
            <w:pPr>
              <w:ind w:left="340"/>
              <w:spacing w:after="0"/>
              <w:rPr>
                <w:sz w:val="20"/>
                <w:szCs w:val="20"/>
                <w:color w:val="auto"/>
              </w:rPr>
            </w:pPr>
            <w:r>
              <w:rPr>
                <w:rFonts w:ascii="Arial" w:cs="Arial" w:eastAsia="Arial" w:hAnsi="Arial"/>
                <w:sz w:val="20"/>
                <w:szCs w:val="20"/>
                <w:b w:val="1"/>
                <w:bCs w:val="1"/>
                <w:color w:val="auto"/>
                <w:w w:val="96"/>
              </w:rPr>
              <w:t>709,275</w:t>
            </w:r>
          </w:p>
        </w:tc>
        <w:tc>
          <w:tcPr>
            <w:tcW w:w="1100" w:type="dxa"/>
            <w:vAlign w:val="bottom"/>
            <w:gridSpan w:val="2"/>
          </w:tcPr>
          <w:p>
            <w:pPr>
              <w:jc w:val="right"/>
              <w:spacing w:after="0"/>
              <w:rPr>
                <w:sz w:val="20"/>
                <w:szCs w:val="20"/>
                <w:color w:val="auto"/>
              </w:rPr>
            </w:pPr>
            <w:r>
              <w:rPr>
                <w:rFonts w:ascii="Arial" w:cs="Arial" w:eastAsia="Arial" w:hAnsi="Arial"/>
                <w:sz w:val="20"/>
                <w:szCs w:val="20"/>
                <w:b w:val="1"/>
                <w:bCs w:val="1"/>
                <w:color w:val="auto"/>
              </w:rPr>
              <w:t>571,308</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401(k) Savings Plan</w:t>
      </w:r>
    </w:p>
    <w:p>
      <w:pPr>
        <w:spacing w:after="0" w:line="131" w:lineRule="exact"/>
        <w:rPr>
          <w:sz w:val="20"/>
          <w:szCs w:val="20"/>
          <w:color w:val="auto"/>
        </w:rPr>
      </w:pPr>
    </w:p>
    <w:p>
      <w:pPr>
        <w:ind w:right="120"/>
        <w:spacing w:after="0" w:line="252" w:lineRule="auto"/>
        <w:rPr>
          <w:sz w:val="20"/>
          <w:szCs w:val="20"/>
          <w:color w:val="auto"/>
        </w:rPr>
      </w:pPr>
      <w:r>
        <w:rPr>
          <w:rFonts w:ascii="Arial" w:cs="Arial" w:eastAsia="Arial" w:hAnsi="Arial"/>
          <w:sz w:val="19"/>
          <w:szCs w:val="19"/>
          <w:b w:val="1"/>
          <w:bCs w:val="1"/>
          <w:color w:val="auto"/>
        </w:rPr>
        <w:t>The Company established a defined-contribution savings plan under Section 401(k) of the Internal Revenue Code of 1986, as amended. The 401(k) Plan covers all employees who meet defined minimum age and service requirements and allows participants to defer a portion of their annual compensation on a pretax basis. Beginning in 2021, the Company makes matching contributions of up to 3% of the eligible employees’ compensation to the 401(k) plan. During the years ended December 31, 2025 and 2024, the Company made contributions to the 401(k) plan of $0.3 million and $0.5 million, respectively.</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Segment Reporting</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Based on the information used by the CODM to allocate resources, the Company has determined it operates in one segment. The Company’s operating segment generates revenue from its collaboration agreements as described in Note 5.</w:t>
      </w:r>
    </w:p>
    <w:p>
      <w:pPr>
        <w:spacing w:after="0" w:line="89" w:lineRule="exact"/>
        <w:rPr>
          <w:sz w:val="20"/>
          <w:szCs w:val="20"/>
          <w:color w:val="auto"/>
        </w:rPr>
      </w:pPr>
    </w:p>
    <w:p>
      <w:pPr>
        <w:jc w:val="both"/>
        <w:spacing w:after="0" w:line="297" w:lineRule="auto"/>
        <w:rPr>
          <w:sz w:val="20"/>
          <w:szCs w:val="20"/>
          <w:color w:val="auto"/>
        </w:rPr>
      </w:pPr>
      <w:r>
        <w:rPr>
          <w:rFonts w:ascii="Arial" w:cs="Arial" w:eastAsia="Arial" w:hAnsi="Arial"/>
          <w:sz w:val="17"/>
          <w:szCs w:val="17"/>
          <w:b w:val="1"/>
          <w:bCs w:val="1"/>
          <w:color w:val="auto"/>
        </w:rPr>
        <w:t>The CODM assesses performance for the Company’s operating segment and decides how to allocate resources based on the Company’s cash runway and Net Loss that also is reported on the Consolidated Statements of Operations and Comprehensive Loss Income as Net Loss. Net loss is used to monitor budget versus actual results. The measure of</w:t>
      </w:r>
    </w:p>
    <w:p>
      <w:pPr>
        <w:sectPr>
          <w:pgSz w:w="12240" w:h="15840" w:orient="portrait"/>
          <w:cols w:equalWidth="0" w:num="1">
            <w:col w:w="9720"/>
          </w:cols>
          <w:pgMar w:left="1260" w:top="1079" w:right="1260" w:bottom="181"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106</w:t>
      </w:r>
    </w:p>
    <w:p>
      <w:pPr>
        <w:sectPr>
          <w:pgSz w:w="12240" w:h="15840" w:orient="portrait"/>
          <w:cols w:equalWidth="0" w:num="1">
            <w:col w:w="9720"/>
          </w:cols>
          <w:pgMar w:left="1260" w:top="1079" w:right="1260" w:bottom="181" w:gutter="0" w:footer="0" w:header="0"/>
          <w:type w:val="continuous"/>
        </w:sectPr>
      </w:pPr>
    </w:p>
    <w:bookmarkStart w:id="146" w:name="page147"/>
    <w:bookmarkEnd w:id="146"/>
    <w:p>
      <w:pPr>
        <w:spacing w:after="0"/>
        <w:rPr>
          <w:sz w:val="20"/>
          <w:szCs w:val="20"/>
          <w:color w:val="auto"/>
        </w:rPr>
      </w:pPr>
      <w:r>
        <w:rPr>
          <w:rFonts w:ascii="Arial" w:cs="Arial" w:eastAsia="Arial" w:hAnsi="Arial"/>
          <w:sz w:val="20"/>
          <w:szCs w:val="20"/>
          <w:b w:val="1"/>
          <w:bCs w:val="1"/>
          <w:color w:val="auto"/>
        </w:rPr>
        <w:t>segment assets is reported on the balance sheets as total assets.</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As of December 31, 2025 and 2024, all of the Company’s property and equipment was maintained in the United States. For the year ended December 31, 2025 and 2024, all of the Company’s revenue was generated and incurred in the United States.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9"/>
          <w:szCs w:val="19"/>
          <w:b w:val="1"/>
          <w:bCs w:val="1"/>
          <w:color w:val="auto"/>
        </w:rPr>
        <w:t>Please refer to the consolidated financial statements for further information related to these measures of segment performance. In addition, research and development and general and administrative expenses are significant segment expenses regularly provided to the CODM with the following categories:</w:t>
      </w:r>
    </w:p>
    <w:p>
      <w:pPr>
        <w:spacing w:after="0" w:line="354"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6"/>
                <w:szCs w:val="16"/>
                <w:b w:val="1"/>
                <w:bCs w:val="1"/>
                <w:color w:val="auto"/>
                <w:w w:val="91"/>
              </w:rPr>
              <w:t>Years Ended December 31,</w:t>
            </w:r>
          </w:p>
        </w:tc>
      </w:tr>
      <w:tr>
        <w:trPr>
          <w:trHeight w:val="193"/>
        </w:trPr>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2024</w:t>
            </w:r>
          </w:p>
        </w:tc>
      </w:tr>
      <w:tr>
        <w:trPr>
          <w:trHeight w:val="193"/>
        </w:trPr>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4"/>
          </w:tcPr>
          <w:p>
            <w:pPr>
              <w:jc w:val="right"/>
              <w:ind w:right="502"/>
              <w:spacing w:after="0"/>
              <w:rPr>
                <w:sz w:val="20"/>
                <w:szCs w:val="20"/>
                <w:color w:val="auto"/>
              </w:rPr>
            </w:pPr>
            <w:r>
              <w:rPr>
                <w:rFonts w:ascii="Arial" w:cs="Arial" w:eastAsia="Arial" w:hAnsi="Arial"/>
                <w:sz w:val="16"/>
                <w:szCs w:val="16"/>
                <w:b w:val="1"/>
                <w:bCs w:val="1"/>
                <w:color w:val="auto"/>
              </w:rPr>
              <w:t>(In thousands)</w:t>
            </w:r>
          </w:p>
        </w:tc>
      </w:tr>
      <w:tr>
        <w:trPr>
          <w:trHeight w:val="243"/>
        </w:trPr>
        <w:tc>
          <w:tcPr>
            <w:tcW w:w="4540" w:type="dxa"/>
            <w:vAlign w:val="bottom"/>
          </w:tcPr>
          <w:p>
            <w:pPr>
              <w:spacing w:after="0"/>
              <w:rPr>
                <w:sz w:val="20"/>
                <w:szCs w:val="20"/>
                <w:color w:val="auto"/>
              </w:rPr>
            </w:pPr>
            <w:r>
              <w:rPr>
                <w:rFonts w:ascii="Arial" w:cs="Arial" w:eastAsia="Arial" w:hAnsi="Arial"/>
                <w:sz w:val="20"/>
                <w:szCs w:val="20"/>
                <w:b w:val="1"/>
                <w:bCs w:val="1"/>
                <w:color w:val="auto"/>
              </w:rPr>
              <w:t>Significant Segment Expenses: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5"/>
        </w:trPr>
        <w:tc>
          <w:tcPr>
            <w:tcW w:w="4540" w:type="dxa"/>
            <w:vAlign w:val="bottom"/>
          </w:tcPr>
          <w:p>
            <w:pPr>
              <w:ind w:left="200"/>
              <w:spacing w:after="0"/>
              <w:rPr>
                <w:sz w:val="20"/>
                <w:szCs w:val="20"/>
                <w:color w:val="auto"/>
              </w:rPr>
            </w:pPr>
            <w:r>
              <w:rPr>
                <w:rFonts w:ascii="Arial" w:cs="Arial" w:eastAsia="Arial" w:hAnsi="Arial"/>
                <w:sz w:val="20"/>
                <w:szCs w:val="20"/>
                <w:b w:val="1"/>
                <w:bCs w:val="1"/>
                <w:color w:val="auto"/>
              </w:rPr>
              <w:t>Personnel related costs</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13,544</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23,936</w:t>
            </w:r>
          </w:p>
        </w:tc>
      </w:tr>
      <w:tr>
        <w:trPr>
          <w:trHeight w:val="245"/>
        </w:trPr>
        <w:tc>
          <w:tcPr>
            <w:tcW w:w="4540" w:type="dxa"/>
            <w:vAlign w:val="bottom"/>
          </w:tcPr>
          <w:p>
            <w:pPr>
              <w:ind w:left="200"/>
              <w:spacing w:after="0"/>
              <w:rPr>
                <w:sz w:val="20"/>
                <w:szCs w:val="20"/>
                <w:color w:val="auto"/>
              </w:rPr>
            </w:pPr>
            <w:r>
              <w:rPr>
                <w:rFonts w:ascii="Arial" w:cs="Arial" w:eastAsia="Arial" w:hAnsi="Arial"/>
                <w:sz w:val="20"/>
                <w:szCs w:val="20"/>
                <w:b w:val="1"/>
                <w:bCs w:val="1"/>
                <w:color w:val="auto"/>
              </w:rPr>
              <w:t>Research and development expenses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6,795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14,346</w:t>
            </w:r>
          </w:p>
        </w:tc>
      </w:tr>
      <w:tr>
        <w:trPr>
          <w:trHeight w:val="242"/>
        </w:trPr>
        <w:tc>
          <w:tcPr>
            <w:tcW w:w="4540" w:type="dxa"/>
            <w:vAlign w:val="bottom"/>
          </w:tcPr>
          <w:p>
            <w:pPr>
              <w:ind w:left="200"/>
              <w:spacing w:after="0"/>
              <w:rPr>
                <w:sz w:val="20"/>
                <w:szCs w:val="20"/>
                <w:color w:val="auto"/>
              </w:rPr>
            </w:pPr>
            <w:r>
              <w:rPr>
                <w:rFonts w:ascii="Arial" w:cs="Arial" w:eastAsia="Arial" w:hAnsi="Arial"/>
                <w:sz w:val="20"/>
                <w:szCs w:val="20"/>
                <w:b w:val="1"/>
                <w:bCs w:val="1"/>
                <w:color w:val="auto"/>
              </w:rPr>
              <w:t>Clinical trial expenses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4,325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11,285</w:t>
            </w:r>
          </w:p>
        </w:tc>
      </w:tr>
      <w:tr>
        <w:trPr>
          <w:trHeight w:val="245"/>
        </w:trPr>
        <w:tc>
          <w:tcPr>
            <w:tcW w:w="4540" w:type="dxa"/>
            <w:vAlign w:val="bottom"/>
          </w:tcPr>
          <w:p>
            <w:pPr>
              <w:ind w:left="200"/>
              <w:spacing w:after="0"/>
              <w:rPr>
                <w:sz w:val="20"/>
                <w:szCs w:val="20"/>
                <w:color w:val="auto"/>
              </w:rPr>
            </w:pPr>
            <w:r>
              <w:rPr>
                <w:rFonts w:ascii="Arial" w:cs="Arial" w:eastAsia="Arial" w:hAnsi="Arial"/>
                <w:sz w:val="20"/>
                <w:szCs w:val="20"/>
                <w:b w:val="1"/>
                <w:bCs w:val="1"/>
                <w:color w:val="auto"/>
              </w:rPr>
              <w:t>General and administrative expenses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7,062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8,952</w:t>
            </w:r>
          </w:p>
        </w:tc>
      </w:tr>
      <w:tr>
        <w:trPr>
          <w:trHeight w:val="245"/>
        </w:trPr>
        <w:tc>
          <w:tcPr>
            <w:tcW w:w="4540" w:type="dxa"/>
            <w:vAlign w:val="bottom"/>
          </w:tcPr>
          <w:p>
            <w:pPr>
              <w:ind w:left="200"/>
              <w:spacing w:after="0"/>
              <w:rPr>
                <w:sz w:val="20"/>
                <w:szCs w:val="20"/>
                <w:color w:val="auto"/>
              </w:rPr>
            </w:pPr>
            <w:r>
              <w:rPr>
                <w:rFonts w:ascii="Arial" w:cs="Arial" w:eastAsia="Arial" w:hAnsi="Arial"/>
                <w:sz w:val="20"/>
                <w:szCs w:val="20"/>
                <w:b w:val="1"/>
                <w:bCs w:val="1"/>
                <w:color w:val="auto"/>
              </w:rPr>
              <w:t>Facilities expenses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6,529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7,734</w:t>
            </w:r>
          </w:p>
        </w:tc>
      </w:tr>
      <w:tr>
        <w:trPr>
          <w:trHeight w:val="242"/>
        </w:trPr>
        <w:tc>
          <w:tcPr>
            <w:tcW w:w="4540" w:type="dxa"/>
            <w:vAlign w:val="bottom"/>
          </w:tcPr>
          <w:p>
            <w:pPr>
              <w:ind w:left="200"/>
              <w:spacing w:after="0"/>
              <w:rPr>
                <w:sz w:val="20"/>
                <w:szCs w:val="20"/>
                <w:color w:val="auto"/>
              </w:rPr>
            </w:pPr>
            <w:r>
              <w:rPr>
                <w:rFonts w:ascii="Arial" w:cs="Arial" w:eastAsia="Arial" w:hAnsi="Arial"/>
                <w:sz w:val="20"/>
                <w:szCs w:val="20"/>
                <w:b w:val="1"/>
                <w:bCs w:val="1"/>
                <w:color w:val="auto"/>
              </w:rPr>
              <w:t>Stock-based compensation expense</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2,782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7,407</w:t>
            </w:r>
          </w:p>
        </w:tc>
      </w:tr>
      <w:tr>
        <w:trPr>
          <w:trHeight w:val="245"/>
        </w:trPr>
        <w:tc>
          <w:tcPr>
            <w:tcW w:w="4540" w:type="dxa"/>
            <w:vAlign w:val="bottom"/>
          </w:tcPr>
          <w:p>
            <w:pPr>
              <w:ind w:left="200"/>
              <w:spacing w:after="0"/>
              <w:rPr>
                <w:sz w:val="20"/>
                <w:szCs w:val="20"/>
                <w:color w:val="auto"/>
              </w:rPr>
            </w:pPr>
            <w:r>
              <w:rPr>
                <w:rFonts w:ascii="Arial" w:cs="Arial" w:eastAsia="Arial" w:hAnsi="Arial"/>
                <w:sz w:val="20"/>
                <w:szCs w:val="20"/>
                <w:b w:val="1"/>
                <w:bCs w:val="1"/>
                <w:color w:val="auto"/>
                <w:w w:val="88"/>
              </w:rPr>
              <w:t>Depreciation and other segment expenses (Note A)</w:t>
            </w: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1,291</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2,266</w:t>
            </w:r>
          </w:p>
        </w:tc>
      </w:tr>
      <w:tr>
        <w:trPr>
          <w:trHeight w:val="239"/>
        </w:trPr>
        <w:tc>
          <w:tcPr>
            <w:tcW w:w="4540" w:type="dxa"/>
            <w:vAlign w:val="bottom"/>
          </w:tcPr>
          <w:p>
            <w:pPr>
              <w:ind w:left="400"/>
              <w:spacing w:after="0"/>
              <w:rPr>
                <w:sz w:val="20"/>
                <w:szCs w:val="20"/>
                <w:color w:val="auto"/>
              </w:rPr>
            </w:pPr>
            <w:r>
              <w:rPr>
                <w:rFonts w:ascii="Arial" w:cs="Arial" w:eastAsia="Arial" w:hAnsi="Arial"/>
                <w:sz w:val="20"/>
                <w:szCs w:val="20"/>
                <w:b w:val="1"/>
                <w:bCs w:val="1"/>
                <w:color w:val="auto"/>
              </w:rPr>
              <w:t>Total segment expenses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42,328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75,926</w:t>
            </w:r>
          </w:p>
        </w:tc>
      </w:tr>
      <w:tr>
        <w:trPr>
          <w:trHeight w:val="245"/>
        </w:trPr>
        <w:tc>
          <w:tcPr>
            <w:tcW w:w="4540" w:type="dxa"/>
            <w:vAlign w:val="bottom"/>
          </w:tcPr>
          <w:p>
            <w:pPr>
              <w:ind w:left="200"/>
              <w:spacing w:after="0"/>
              <w:rPr>
                <w:sz w:val="20"/>
                <w:szCs w:val="20"/>
                <w:color w:val="auto"/>
              </w:rPr>
            </w:pPr>
            <w:r>
              <w:rPr>
                <w:rFonts w:ascii="Arial" w:cs="Arial" w:eastAsia="Arial" w:hAnsi="Arial"/>
                <w:sz w:val="20"/>
                <w:szCs w:val="20"/>
                <w:b w:val="1"/>
                <w:bCs w:val="1"/>
                <w:color w:val="auto"/>
              </w:rPr>
              <w:t>Restructuring charges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1,480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3,343</w:t>
            </w:r>
          </w:p>
        </w:tc>
      </w:tr>
      <w:tr>
        <w:trPr>
          <w:trHeight w:val="243"/>
        </w:trPr>
        <w:tc>
          <w:tcPr>
            <w:tcW w:w="4540" w:type="dxa"/>
            <w:vAlign w:val="bottom"/>
          </w:tcPr>
          <w:p>
            <w:pPr>
              <w:ind w:left="200"/>
              <w:spacing w:after="0"/>
              <w:rPr>
                <w:sz w:val="20"/>
                <w:szCs w:val="20"/>
                <w:color w:val="auto"/>
              </w:rPr>
            </w:pPr>
            <w:r>
              <w:rPr>
                <w:rFonts w:ascii="Arial" w:cs="Arial" w:eastAsia="Arial" w:hAnsi="Arial"/>
                <w:sz w:val="20"/>
                <w:szCs w:val="20"/>
                <w:b w:val="1"/>
                <w:bCs w:val="1"/>
                <w:color w:val="auto"/>
              </w:rPr>
              <w:t>Impairment charges</w:t>
            </w: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1,469</w:t>
            </w:r>
          </w:p>
        </w:tc>
      </w:tr>
      <w:tr>
        <w:trPr>
          <w:trHeight w:val="239"/>
        </w:trPr>
        <w:tc>
          <w:tcPr>
            <w:tcW w:w="4540" w:type="dxa"/>
            <w:vAlign w:val="bottom"/>
          </w:tcPr>
          <w:p>
            <w:pPr>
              <w:ind w:left="400"/>
              <w:spacing w:after="0"/>
              <w:rPr>
                <w:sz w:val="20"/>
                <w:szCs w:val="20"/>
                <w:color w:val="auto"/>
              </w:rPr>
            </w:pPr>
            <w:r>
              <w:rPr>
                <w:rFonts w:ascii="Arial" w:cs="Arial" w:eastAsia="Arial" w:hAnsi="Arial"/>
                <w:sz w:val="20"/>
                <w:szCs w:val="20"/>
                <w:b w:val="1"/>
                <w:bCs w:val="1"/>
                <w:color w:val="auto"/>
              </w:rPr>
              <w:t>Total segment and operating expenses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43,808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80,738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-2160270</wp:posOffset>
            </wp:positionV>
            <wp:extent cx="5141595" cy="71088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1595" cy="710882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A) Other segment expense include depreciation expense and other miscellaneous expenses.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Income Taxes</w:t>
      </w:r>
    </w:p>
    <w:p>
      <w:pPr>
        <w:spacing w:after="0" w:line="131"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b w:val="1"/>
          <w:bCs w:val="1"/>
          <w:color w:val="auto"/>
        </w:rPr>
        <w:t>For financial reporting purposes, income (loss) before provision for income taxes, includes the following components (in thousands):</w:t>
      </w:r>
    </w:p>
    <w:p>
      <w:pPr>
        <w:spacing w:after="0" w:line="292" w:lineRule="exact"/>
        <w:rPr>
          <w:sz w:val="20"/>
          <w:szCs w:val="20"/>
          <w:color w:val="auto"/>
        </w:rPr>
      </w:pPr>
    </w:p>
    <w:tbl>
      <w:tblPr>
        <w:tblLayout w:type="fixed"/>
        <w:tblInd w:w="146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5"/>
          </w:tcPr>
          <w:p>
            <w:pPr>
              <w:jc w:val="right"/>
              <w:ind w:right="240"/>
              <w:spacing w:after="0"/>
              <w:rPr>
                <w:sz w:val="20"/>
                <w:szCs w:val="20"/>
                <w:color w:val="auto"/>
              </w:rPr>
            </w:pPr>
            <w:r>
              <w:rPr>
                <w:rFonts w:ascii="Arial" w:cs="Arial" w:eastAsia="Arial" w:hAnsi="Arial"/>
                <w:sz w:val="16"/>
                <w:szCs w:val="16"/>
                <w:b w:val="1"/>
                <w:bCs w:val="1"/>
                <w:color w:val="auto"/>
                <w:w w:val="90"/>
              </w:rPr>
              <w:t>Years Ended December 31,</w:t>
            </w:r>
          </w:p>
        </w:tc>
      </w:tr>
      <w:tr>
        <w:trPr>
          <w:trHeight w:val="238"/>
        </w:trPr>
        <w:tc>
          <w:tcPr>
            <w:tcW w:w="3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r>
      <w:tr>
        <w:trPr>
          <w:trHeight w:val="238"/>
        </w:trPr>
        <w:tc>
          <w:tcPr>
            <w:tcW w:w="3280" w:type="dxa"/>
            <w:vAlign w:val="bottom"/>
          </w:tcPr>
          <w:p>
            <w:pPr>
              <w:spacing w:after="0"/>
              <w:rPr>
                <w:sz w:val="20"/>
                <w:szCs w:val="20"/>
                <w:color w:val="auto"/>
              </w:rPr>
            </w:pPr>
            <w:r>
              <w:rPr>
                <w:rFonts w:ascii="Arial" w:cs="Arial" w:eastAsia="Arial" w:hAnsi="Arial"/>
                <w:sz w:val="20"/>
                <w:szCs w:val="20"/>
                <w:b w:val="1"/>
                <w:bCs w:val="1"/>
                <w:color w:val="auto"/>
              </w:rPr>
              <w:t>Domestic</w:t>
            </w:r>
          </w:p>
        </w:tc>
        <w:tc>
          <w:tcPr>
            <w:tcW w:w="13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(31,885</w:t>
            </w:r>
            <w:r>
              <w:rPr>
                <w:rFonts w:ascii="Arial" w:cs="Arial" w:eastAsia="Arial" w:hAnsi="Arial"/>
                <w:sz w:val="20"/>
                <w:szCs w:val="20"/>
                <w:b w:val="1"/>
                <w:bCs w:val="1"/>
                <w:color w:val="auto"/>
                <w:shd w:val="clear" w:color="auto" w:fill="E5E5E5"/>
              </w:rPr>
              <w:t>)</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(63,118)</w:t>
            </w:r>
          </w:p>
        </w:tc>
      </w:tr>
      <w:tr>
        <w:trPr>
          <w:trHeight w:val="245"/>
        </w:trPr>
        <w:tc>
          <w:tcPr>
            <w:tcW w:w="3280" w:type="dxa"/>
            <w:vAlign w:val="bottom"/>
          </w:tcPr>
          <w:p>
            <w:pPr>
              <w:spacing w:after="0"/>
              <w:rPr>
                <w:sz w:val="20"/>
                <w:szCs w:val="20"/>
                <w:color w:val="auto"/>
              </w:rPr>
            </w:pPr>
            <w:r>
              <w:rPr>
                <w:rFonts w:ascii="Arial" w:cs="Arial" w:eastAsia="Arial" w:hAnsi="Arial"/>
                <w:sz w:val="20"/>
                <w:szCs w:val="20"/>
                <w:b w:val="1"/>
                <w:bCs w:val="1"/>
                <w:color w:val="auto"/>
              </w:rPr>
              <w:t>Foreign</w:t>
            </w:r>
          </w:p>
        </w:tc>
        <w:tc>
          <w:tcPr>
            <w:tcW w:w="1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(1,491)</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80" w:type="dxa"/>
            <w:vAlign w:val="bottom"/>
          </w:tcPr>
          <w:p>
            <w:pPr>
              <w:spacing w:after="0"/>
              <w:rPr>
                <w:sz w:val="21"/>
                <w:szCs w:val="21"/>
                <w:color w:val="auto"/>
              </w:rPr>
            </w:pPr>
          </w:p>
        </w:tc>
      </w:tr>
      <w:tr>
        <w:trPr>
          <w:trHeight w:val="239"/>
        </w:trPr>
        <w:tc>
          <w:tcPr>
            <w:tcW w:w="3280" w:type="dxa"/>
            <w:vAlign w:val="bottom"/>
          </w:tcPr>
          <w:p>
            <w:pPr>
              <w:spacing w:after="0"/>
              <w:rPr>
                <w:sz w:val="20"/>
                <w:szCs w:val="20"/>
                <w:color w:val="auto"/>
              </w:rPr>
            </w:pPr>
            <w:r>
              <w:rPr>
                <w:rFonts w:ascii="Arial" w:cs="Arial" w:eastAsia="Arial" w:hAnsi="Arial"/>
                <w:sz w:val="20"/>
                <w:szCs w:val="20"/>
                <w:b w:val="1"/>
                <w:bCs w:val="1"/>
                <w:color w:val="auto"/>
              </w:rPr>
              <w:t>Loss before income taxes</w:t>
            </w:r>
          </w:p>
        </w:tc>
        <w:tc>
          <w:tcPr>
            <w:tcW w:w="13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(33,376</w:t>
            </w:r>
            <w:r>
              <w:rPr>
                <w:rFonts w:ascii="Arial" w:cs="Arial" w:eastAsia="Arial" w:hAnsi="Arial"/>
                <w:sz w:val="20"/>
                <w:szCs w:val="20"/>
                <w:b w:val="1"/>
                <w:bCs w:val="1"/>
                <w:color w:val="auto"/>
                <w:shd w:val="clear" w:color="auto" w:fill="E5E5E5"/>
              </w:rPr>
              <w:t>)</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(63,118)</w:t>
            </w:r>
          </w:p>
        </w:tc>
      </w:tr>
    </w:tbl>
    <w:p>
      <w:pPr>
        <w:spacing w:after="0" w:line="177" w:lineRule="exact"/>
        <w:rPr>
          <w:sz w:val="20"/>
          <w:szCs w:val="20"/>
          <w:color w:val="auto"/>
        </w:rPr>
      </w:pPr>
    </w:p>
    <w:p>
      <w:pPr>
        <w:ind w:right="80"/>
        <w:spacing w:after="0" w:line="382" w:lineRule="auto"/>
        <w:rPr>
          <w:sz w:val="20"/>
          <w:szCs w:val="20"/>
          <w:color w:val="auto"/>
        </w:rPr>
      </w:pPr>
      <w:r>
        <w:rPr>
          <w:rFonts w:ascii="Arial" w:cs="Arial" w:eastAsia="Arial" w:hAnsi="Arial"/>
          <w:sz w:val="15"/>
          <w:szCs w:val="15"/>
          <w:b w:val="1"/>
          <w:bCs w:val="1"/>
          <w:color w:val="auto"/>
        </w:rPr>
        <w:t>The Company has not recorded any income tax expense for the years ended December 31, 2025 and 2024. Additionally, the Company has not paid any income taxes for the years ended December 31, 2025 and 2024, respectively.</w:t>
      </w:r>
    </w:p>
    <w:p>
      <w:pPr>
        <w:spacing w:after="0" w:line="149" w:lineRule="exact"/>
        <w:rPr>
          <w:sz w:val="20"/>
          <w:szCs w:val="20"/>
          <w:color w:val="auto"/>
        </w:rPr>
      </w:pPr>
    </w:p>
    <w:p>
      <w:pPr>
        <w:ind w:right="840"/>
        <w:spacing w:after="0" w:line="234" w:lineRule="auto"/>
        <w:rPr>
          <w:sz w:val="20"/>
          <w:szCs w:val="20"/>
          <w:color w:val="auto"/>
        </w:rPr>
      </w:pPr>
      <w:r>
        <w:rPr>
          <w:rFonts w:ascii="Arial" w:cs="Arial" w:eastAsia="Arial" w:hAnsi="Arial"/>
          <w:sz w:val="20"/>
          <w:szCs w:val="20"/>
          <w:b w:val="1"/>
          <w:bCs w:val="1"/>
          <w:color w:val="auto"/>
        </w:rPr>
        <w:t>A reconciliation of the Company’s effective tax rate and federal statutory tax rate is summarized as follows (in thousands):</w:t>
      </w:r>
    </w:p>
    <w:p>
      <w:pPr>
        <w:spacing w:after="0" w:line="246" w:lineRule="exact"/>
        <w:rPr>
          <w:sz w:val="20"/>
          <w:szCs w:val="20"/>
          <w:color w:val="auto"/>
        </w:rPr>
      </w:pPr>
    </w:p>
    <w:tbl>
      <w:tblPr>
        <w:tblLayout w:type="fixed"/>
        <w:tblInd w:w="82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6"/>
                <w:szCs w:val="16"/>
                <w:b w:val="1"/>
                <w:bCs w:val="1"/>
                <w:color w:val="auto"/>
              </w:rPr>
              <w:t>Years Ended December 31,</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9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2025</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483"/>
        </w:trPr>
        <w:tc>
          <w:tcPr>
            <w:tcW w:w="3780" w:type="dxa"/>
            <w:vAlign w:val="bottom"/>
          </w:tcPr>
          <w:p>
            <w:pPr>
              <w:spacing w:after="0"/>
              <w:rPr>
                <w:sz w:val="20"/>
                <w:szCs w:val="20"/>
                <w:color w:val="auto"/>
              </w:rPr>
            </w:pPr>
            <w:r>
              <w:rPr>
                <w:rFonts w:ascii="Arial" w:cs="Arial" w:eastAsia="Arial" w:hAnsi="Arial"/>
                <w:sz w:val="20"/>
                <w:szCs w:val="20"/>
                <w:b w:val="1"/>
                <w:bCs w:val="1"/>
                <w:color w:val="auto"/>
                <w:w w:val="86"/>
              </w:rPr>
              <w:t>Federal income tax provision at statutory rate</w:t>
            </w:r>
          </w:p>
        </w:tc>
        <w:tc>
          <w:tcPr>
            <w:tcW w:w="3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(7,009)</w:t>
            </w:r>
          </w:p>
        </w:tc>
        <w:tc>
          <w:tcPr>
            <w:tcW w:w="100" w:type="dxa"/>
            <w:vAlign w:val="bottom"/>
          </w:tcPr>
          <w:p>
            <w:pPr>
              <w:spacing w:after="0"/>
              <w:rPr>
                <w:sz w:val="24"/>
                <w:szCs w:val="24"/>
                <w:color w:val="auto"/>
              </w:rPr>
            </w:pPr>
          </w:p>
        </w:tc>
        <w:tc>
          <w:tcPr>
            <w:tcW w:w="940" w:type="dxa"/>
            <w:vAlign w:val="bottom"/>
          </w:tcPr>
          <w:p>
            <w:pPr>
              <w:jc w:val="right"/>
              <w:ind w:right="80"/>
              <w:spacing w:after="0"/>
              <w:rPr>
                <w:sz w:val="20"/>
                <w:szCs w:val="20"/>
                <w:color w:val="auto"/>
              </w:rPr>
            </w:pPr>
            <w:r>
              <w:rPr>
                <w:rFonts w:ascii="Arial" w:cs="Arial" w:eastAsia="Arial" w:hAnsi="Arial"/>
                <w:sz w:val="20"/>
                <w:szCs w:val="20"/>
                <w:b w:val="1"/>
                <w:bCs w:val="1"/>
                <w:color w:val="auto"/>
              </w:rPr>
              <w:t>21.0%</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w w:val="93"/>
              </w:rPr>
              <w:t>(13,255)</w:t>
            </w:r>
          </w:p>
        </w:tc>
        <w:tc>
          <w:tcPr>
            <w:tcW w:w="1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21.0%</w:t>
            </w:r>
          </w:p>
        </w:tc>
      </w:tr>
      <w:tr>
        <w:trPr>
          <w:trHeight w:val="242"/>
        </w:trPr>
        <w:tc>
          <w:tcPr>
            <w:tcW w:w="3780" w:type="dxa"/>
            <w:vAlign w:val="bottom"/>
          </w:tcPr>
          <w:p>
            <w:pPr>
              <w:spacing w:after="0"/>
              <w:rPr>
                <w:sz w:val="20"/>
                <w:szCs w:val="20"/>
                <w:color w:val="auto"/>
              </w:rPr>
            </w:pPr>
            <w:r>
              <w:rPr>
                <w:rFonts w:ascii="Arial" w:cs="Arial" w:eastAsia="Arial" w:hAnsi="Arial"/>
                <w:sz w:val="20"/>
                <w:szCs w:val="20"/>
                <w:b w:val="1"/>
                <w:bCs w:val="1"/>
                <w:color w:val="auto"/>
              </w:rPr>
              <w:t>Foreign tax effects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(161)</w:t>
            </w:r>
          </w:p>
        </w:tc>
        <w:tc>
          <w:tcPr>
            <w:tcW w:w="10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20"/>
                <w:szCs w:val="20"/>
                <w:b w:val="1"/>
                <w:bCs w:val="1"/>
                <w:color w:val="auto"/>
              </w:rPr>
              <w:t>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20"/>
                <w:szCs w:val="20"/>
                <w:b w:val="1"/>
                <w:bCs w:val="1"/>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r>
      <w:tr>
        <w:trPr>
          <w:trHeight w:val="245"/>
        </w:trPr>
        <w:tc>
          <w:tcPr>
            <w:tcW w:w="3780" w:type="dxa"/>
            <w:vAlign w:val="bottom"/>
          </w:tcPr>
          <w:p>
            <w:pPr>
              <w:spacing w:after="0"/>
              <w:rPr>
                <w:sz w:val="20"/>
                <w:szCs w:val="20"/>
                <w:color w:val="auto"/>
              </w:rPr>
            </w:pPr>
            <w:r>
              <w:rPr>
                <w:rFonts w:ascii="Arial" w:cs="Arial" w:eastAsia="Arial" w:hAnsi="Arial"/>
                <w:sz w:val="20"/>
                <w:szCs w:val="20"/>
                <w:b w:val="1"/>
                <w:bCs w:val="1"/>
                <w:color w:val="auto"/>
              </w:rPr>
              <w:t>Tax credits: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5"/>
        </w:trPr>
        <w:tc>
          <w:tcPr>
            <w:tcW w:w="3780" w:type="dxa"/>
            <w:vAlign w:val="bottom"/>
          </w:tcPr>
          <w:p>
            <w:pPr>
              <w:ind w:left="200"/>
              <w:spacing w:after="0"/>
              <w:rPr>
                <w:sz w:val="20"/>
                <w:szCs w:val="20"/>
                <w:color w:val="auto"/>
              </w:rPr>
            </w:pPr>
            <w:r>
              <w:rPr>
                <w:rFonts w:ascii="Arial" w:cs="Arial" w:eastAsia="Arial" w:hAnsi="Arial"/>
                <w:sz w:val="20"/>
                <w:szCs w:val="20"/>
                <w:b w:val="1"/>
                <w:bCs w:val="1"/>
                <w:color w:val="auto"/>
              </w:rPr>
              <w:t>Research and development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(513)</w:t>
            </w:r>
          </w:p>
        </w:tc>
        <w:tc>
          <w:tcPr>
            <w:tcW w:w="10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20"/>
                <w:szCs w:val="20"/>
                <w:b w:val="1"/>
                <w:bCs w:val="1"/>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(1,439)</w:t>
            </w:r>
          </w:p>
        </w:tc>
        <w:tc>
          <w:tcPr>
            <w:tcW w:w="12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2.3%</w:t>
            </w:r>
          </w:p>
        </w:tc>
      </w:tr>
      <w:tr>
        <w:trPr>
          <w:trHeight w:val="242"/>
        </w:trPr>
        <w:tc>
          <w:tcPr>
            <w:tcW w:w="3780" w:type="dxa"/>
            <w:vAlign w:val="bottom"/>
          </w:tcPr>
          <w:p>
            <w:pPr>
              <w:spacing w:after="0"/>
              <w:rPr>
                <w:sz w:val="20"/>
                <w:szCs w:val="20"/>
                <w:color w:val="auto"/>
              </w:rPr>
            </w:pPr>
            <w:r>
              <w:rPr>
                <w:rFonts w:ascii="Arial" w:cs="Arial" w:eastAsia="Arial" w:hAnsi="Arial"/>
                <w:sz w:val="20"/>
                <w:szCs w:val="20"/>
                <w:b w:val="1"/>
                <w:bCs w:val="1"/>
                <w:color w:val="auto"/>
              </w:rPr>
              <w:t>Change in valuation allowance</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25"/>
              <w:spacing w:after="0"/>
              <w:rPr>
                <w:sz w:val="20"/>
                <w:szCs w:val="20"/>
                <w:color w:val="auto"/>
              </w:rPr>
            </w:pPr>
            <w:r>
              <w:rPr>
                <w:rFonts w:ascii="Arial" w:cs="Arial" w:eastAsia="Arial" w:hAnsi="Arial"/>
                <w:sz w:val="20"/>
                <w:szCs w:val="20"/>
                <w:b w:val="1"/>
                <w:bCs w:val="1"/>
                <w:color w:val="auto"/>
              </w:rPr>
              <w:t>6,571</w:t>
            </w:r>
          </w:p>
        </w:tc>
        <w:tc>
          <w:tcPr>
            <w:tcW w:w="10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b w:val="1"/>
                <w:bCs w:val="1"/>
                <w:color w:val="auto"/>
              </w:rPr>
              <w:t>(19.7%)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3"/>
              <w:spacing w:after="0"/>
              <w:rPr>
                <w:sz w:val="20"/>
                <w:szCs w:val="20"/>
                <w:color w:val="auto"/>
              </w:rPr>
            </w:pPr>
            <w:r>
              <w:rPr>
                <w:rFonts w:ascii="Arial" w:cs="Arial" w:eastAsia="Arial" w:hAnsi="Arial"/>
                <w:sz w:val="20"/>
                <w:szCs w:val="20"/>
                <w:b w:val="1"/>
                <w:bCs w:val="1"/>
                <w:color w:val="auto"/>
              </w:rPr>
              <w:t>12,832</w:t>
            </w:r>
          </w:p>
        </w:tc>
        <w:tc>
          <w:tcPr>
            <w:tcW w:w="1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rPr>
              <w:t>(20.3%)</w:t>
            </w:r>
          </w:p>
        </w:tc>
      </w:tr>
      <w:tr>
        <w:trPr>
          <w:trHeight w:val="245"/>
        </w:trPr>
        <w:tc>
          <w:tcPr>
            <w:tcW w:w="3780" w:type="dxa"/>
            <w:vAlign w:val="bottom"/>
          </w:tcPr>
          <w:p>
            <w:pPr>
              <w:spacing w:after="0"/>
              <w:rPr>
                <w:sz w:val="20"/>
                <w:szCs w:val="20"/>
                <w:color w:val="auto"/>
              </w:rPr>
            </w:pPr>
            <w:r>
              <w:rPr>
                <w:rFonts w:ascii="Arial" w:cs="Arial" w:eastAsia="Arial" w:hAnsi="Arial"/>
                <w:sz w:val="20"/>
                <w:szCs w:val="20"/>
                <w:b w:val="1"/>
                <w:bCs w:val="1"/>
                <w:color w:val="auto"/>
              </w:rPr>
              <w:t>Nontaxable or nondeductible items: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5"/>
        </w:trPr>
        <w:tc>
          <w:tcPr>
            <w:tcW w:w="3780" w:type="dxa"/>
            <w:vAlign w:val="bottom"/>
          </w:tcPr>
          <w:p>
            <w:pPr>
              <w:ind w:left="200"/>
              <w:spacing w:after="0"/>
              <w:rPr>
                <w:sz w:val="20"/>
                <w:szCs w:val="20"/>
                <w:color w:val="auto"/>
              </w:rPr>
            </w:pPr>
            <w:r>
              <w:rPr>
                <w:rFonts w:ascii="Arial" w:cs="Arial" w:eastAsia="Arial" w:hAnsi="Arial"/>
                <w:sz w:val="20"/>
                <w:szCs w:val="20"/>
                <w:b w:val="1"/>
                <w:bCs w:val="1"/>
                <w:color w:val="auto"/>
              </w:rPr>
              <w:t>Stock-based compensation</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25"/>
              <w:spacing w:after="0"/>
              <w:rPr>
                <w:sz w:val="20"/>
                <w:szCs w:val="20"/>
                <w:color w:val="auto"/>
              </w:rPr>
            </w:pPr>
            <w:r>
              <w:rPr>
                <w:rFonts w:ascii="Arial" w:cs="Arial" w:eastAsia="Arial" w:hAnsi="Arial"/>
                <w:sz w:val="20"/>
                <w:szCs w:val="20"/>
                <w:b w:val="1"/>
                <w:bCs w:val="1"/>
                <w:color w:val="auto"/>
              </w:rPr>
              <w:t>620</w:t>
            </w:r>
          </w:p>
        </w:tc>
        <w:tc>
          <w:tcPr>
            <w:tcW w:w="10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b w:val="1"/>
                <w:bCs w:val="1"/>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3"/>
              <w:spacing w:after="0"/>
              <w:rPr>
                <w:sz w:val="20"/>
                <w:szCs w:val="20"/>
                <w:color w:val="auto"/>
              </w:rPr>
            </w:pPr>
            <w:r>
              <w:rPr>
                <w:rFonts w:ascii="Arial" w:cs="Arial" w:eastAsia="Arial" w:hAnsi="Arial"/>
                <w:sz w:val="20"/>
                <w:szCs w:val="20"/>
                <w:b w:val="1"/>
                <w:bCs w:val="1"/>
                <w:color w:val="auto"/>
              </w:rPr>
              <w:t>1,830</w:t>
            </w:r>
          </w:p>
        </w:tc>
        <w:tc>
          <w:tcPr>
            <w:tcW w:w="1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rPr>
              <w:t>(2.9%)</w:t>
            </w:r>
          </w:p>
        </w:tc>
      </w:tr>
      <w:tr>
        <w:trPr>
          <w:trHeight w:val="243"/>
        </w:trPr>
        <w:tc>
          <w:tcPr>
            <w:tcW w:w="3780" w:type="dxa"/>
            <w:vAlign w:val="bottom"/>
          </w:tcPr>
          <w:p>
            <w:pPr>
              <w:ind w:left="200"/>
              <w:spacing w:after="0"/>
              <w:rPr>
                <w:sz w:val="20"/>
                <w:szCs w:val="20"/>
                <w:color w:val="auto"/>
              </w:rPr>
            </w:pPr>
            <w:r>
              <w:rPr>
                <w:rFonts w:ascii="Arial" w:cs="Arial" w:eastAsia="Arial" w:hAnsi="Arial"/>
                <w:sz w:val="20"/>
                <w:szCs w:val="20"/>
                <w:b w:val="1"/>
                <w:bCs w:val="1"/>
                <w:color w:val="auto"/>
              </w:rPr>
              <w:t>Other</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25"/>
              <w:spacing w:after="0"/>
              <w:rPr>
                <w:sz w:val="20"/>
                <w:szCs w:val="20"/>
                <w:color w:val="auto"/>
              </w:rPr>
            </w:pPr>
            <w:r>
              <w:rPr>
                <w:rFonts w:ascii="Arial" w:cs="Arial" w:eastAsia="Arial" w:hAnsi="Arial"/>
                <w:sz w:val="20"/>
                <w:szCs w:val="20"/>
                <w:b w:val="1"/>
                <w:bCs w:val="1"/>
                <w:color w:val="auto"/>
              </w:rPr>
              <w:t>492</w:t>
            </w:r>
          </w:p>
        </w:tc>
        <w:tc>
          <w:tcPr>
            <w:tcW w:w="10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b w:val="1"/>
                <w:bCs w:val="1"/>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3"/>
              <w:spacing w:after="0"/>
              <w:rPr>
                <w:sz w:val="20"/>
                <w:szCs w:val="20"/>
                <w:color w:val="auto"/>
              </w:rPr>
            </w:pPr>
            <w:r>
              <w:rPr>
                <w:rFonts w:ascii="Arial" w:cs="Arial" w:eastAsia="Arial" w:hAnsi="Arial"/>
                <w:sz w:val="20"/>
                <w:szCs w:val="20"/>
                <w:b w:val="1"/>
                <w:bCs w:val="1"/>
                <w:color w:val="auto"/>
              </w:rPr>
              <w:t>32</w:t>
            </w:r>
          </w:p>
        </w:tc>
        <w:tc>
          <w:tcPr>
            <w:tcW w:w="1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rPr>
              <w:t>(0.1%)</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9"/>
        </w:trPr>
        <w:tc>
          <w:tcPr>
            <w:tcW w:w="3780" w:type="dxa"/>
            <w:vAlign w:val="bottom"/>
          </w:tcPr>
          <w:p>
            <w:pPr>
              <w:ind w:left="300"/>
              <w:spacing w:after="0"/>
              <w:rPr>
                <w:sz w:val="20"/>
                <w:szCs w:val="20"/>
                <w:color w:val="auto"/>
              </w:rPr>
            </w:pPr>
            <w:r>
              <w:rPr>
                <w:rFonts w:ascii="Arial" w:cs="Arial" w:eastAsia="Arial" w:hAnsi="Arial"/>
                <w:sz w:val="20"/>
                <w:szCs w:val="20"/>
                <w:b w:val="1"/>
                <w:bCs w:val="1"/>
                <w:color w:val="auto"/>
              </w:rPr>
              <w:t>Effective income tax rate</w:t>
            </w:r>
          </w:p>
        </w:tc>
        <w:tc>
          <w:tcPr>
            <w:tcW w:w="12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Arial" w:cs="Arial" w:eastAsia="Arial" w:hAnsi="Arial"/>
                <w:sz w:val="20"/>
                <w:szCs w:val="20"/>
                <w:b w:val="1"/>
                <w:bCs w:val="1"/>
                <w:color w:val="auto"/>
                <w:w w:val="71"/>
              </w:rPr>
              <w:t>$</w:t>
            </w:r>
          </w:p>
        </w:tc>
        <w:tc>
          <w:tcPr>
            <w:tcW w:w="740" w:type="dxa"/>
            <w:vAlign w:val="bottom"/>
          </w:tcPr>
          <w:p>
            <w:pPr>
              <w:jc w:val="right"/>
              <w:ind w:right="25"/>
              <w:spacing w:after="0"/>
              <w:rPr>
                <w:sz w:val="20"/>
                <w:szCs w:val="20"/>
                <w:color w:val="auto"/>
              </w:rPr>
            </w:pPr>
            <w:r>
              <w:rPr>
                <w:rFonts w:ascii="Arial" w:cs="Arial" w:eastAsia="Arial" w:hAnsi="Arial"/>
                <w:sz w:val="20"/>
                <w:szCs w:val="20"/>
                <w:b w:val="1"/>
                <w:bCs w:val="1"/>
                <w:color w:val="auto"/>
              </w:rPr>
              <w:t>—</w:t>
            </w:r>
          </w:p>
        </w:tc>
        <w:tc>
          <w:tcPr>
            <w:tcW w:w="1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20"/>
                <w:szCs w:val="20"/>
                <w:b w:val="1"/>
                <w:bCs w:val="1"/>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20"/>
                <w:szCs w:val="20"/>
                <w:b w:val="1"/>
                <w:bCs w:val="1"/>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r>
    </w:tbl>
    <w:p>
      <w:pPr>
        <w:spacing w:after="0" w:line="200" w:lineRule="exact"/>
        <w:rPr>
          <w:sz w:val="20"/>
          <w:szCs w:val="20"/>
          <w:color w:val="auto"/>
        </w:rPr>
      </w:pPr>
    </w:p>
    <w:p>
      <w:pPr>
        <w:sectPr>
          <w:pgSz w:w="12240" w:h="15840" w:orient="portrait"/>
          <w:cols w:equalWidth="0" w:num="1">
            <w:col w:w="9700"/>
          </w:cols>
          <w:pgMar w:left="1260" w:top="1079" w:right="1280" w:bottom="181" w:gutter="0" w:footer="0" w:header="0"/>
        </w:sectPr>
      </w:pP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107</w:t>
      </w:r>
    </w:p>
    <w:p>
      <w:pPr>
        <w:sectPr>
          <w:pgSz w:w="12240" w:h="15840" w:orient="portrait"/>
          <w:cols w:equalWidth="0" w:num="1">
            <w:col w:w="9700"/>
          </w:cols>
          <w:pgMar w:left="1260" w:top="1079" w:right="1280" w:bottom="181" w:gutter="0" w:footer="0" w:header="0"/>
          <w:type w:val="continuous"/>
        </w:sectPr>
      </w:pPr>
    </w:p>
    <w:bookmarkStart w:id="147" w:name="page148"/>
    <w:bookmarkEnd w:id="147"/>
    <w:p>
      <w:pPr>
        <w:ind w:right="320"/>
        <w:spacing w:after="0" w:line="233" w:lineRule="auto"/>
        <w:rPr>
          <w:sz w:val="20"/>
          <w:szCs w:val="20"/>
          <w:color w:val="auto"/>
        </w:rPr>
      </w:pPr>
      <w:r>
        <w:rPr>
          <w:rFonts w:ascii="Arial" w:cs="Arial" w:eastAsia="Arial" w:hAnsi="Arial"/>
          <w:sz w:val="20"/>
          <w:szCs w:val="20"/>
          <w:b w:val="1"/>
          <w:bCs w:val="1"/>
          <w:color w:val="auto"/>
        </w:rPr>
        <w:t>State income taxes in California comprise the majority of the state income taxes, net of federal effect category for the years ended December 31, 2025 and 2024, respectively.</w:t>
      </w:r>
    </w:p>
    <w:p>
      <w:pPr>
        <w:spacing w:after="0" w:line="242" w:lineRule="exact"/>
        <w:rPr>
          <w:sz w:val="20"/>
          <w:szCs w:val="20"/>
          <w:color w:val="auto"/>
        </w:rPr>
      </w:pPr>
    </w:p>
    <w:p>
      <w:pPr>
        <w:jc w:val="both"/>
        <w:ind w:right="60"/>
        <w:spacing w:after="0" w:line="353" w:lineRule="auto"/>
        <w:rPr>
          <w:sz w:val="20"/>
          <w:szCs w:val="20"/>
          <w:color w:val="auto"/>
        </w:rPr>
      </w:pPr>
      <w:r>
        <w:rPr>
          <w:rFonts w:ascii="Arial" w:cs="Arial" w:eastAsia="Arial" w:hAnsi="Arial"/>
          <w:sz w:val="15"/>
          <w:szCs w:val="15"/>
          <w:b w:val="1"/>
          <w:bCs w:val="1"/>
          <w:color w:val="auto"/>
        </w:rPr>
        <w:t>Deferred income taxes reflect the net tax effects of loss and credit carryforwards and temporary differences between the carrying amounts of assets and liabilities for financial reporting purposes and the amounts used for income tax purposes. Significant components of our deferred tax assets for federal and state income taxes are as follows (in thousands):</w:t>
      </w:r>
    </w:p>
    <w:p>
      <w:pPr>
        <w:spacing w:after="0" w:line="164"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December 31,</w:t>
            </w:r>
          </w:p>
        </w:tc>
      </w:tr>
      <w:tr>
        <w:trPr>
          <w:trHeight w:val="192"/>
        </w:trPr>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6"/>
                <w:szCs w:val="16"/>
                <w:color w:val="auto"/>
              </w:rPr>
            </w:pPr>
          </w:p>
        </w:tc>
      </w:tr>
      <w:tr>
        <w:trPr>
          <w:trHeight w:val="240"/>
        </w:trPr>
        <w:tc>
          <w:tcPr>
            <w:tcW w:w="4220" w:type="dxa"/>
            <w:vAlign w:val="bottom"/>
          </w:tcPr>
          <w:p>
            <w:pPr>
              <w:spacing w:after="0"/>
              <w:rPr>
                <w:sz w:val="20"/>
                <w:szCs w:val="20"/>
                <w:color w:val="auto"/>
              </w:rPr>
            </w:pPr>
            <w:r>
              <w:rPr>
                <w:rFonts w:ascii="Arial" w:cs="Arial" w:eastAsia="Arial" w:hAnsi="Arial"/>
                <w:sz w:val="20"/>
                <w:szCs w:val="20"/>
                <w:b w:val="1"/>
                <w:bCs w:val="1"/>
                <w:color w:val="auto"/>
              </w:rPr>
              <w:t>Deferred tax assets: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2"/>
        </w:trPr>
        <w:tc>
          <w:tcPr>
            <w:tcW w:w="4220" w:type="dxa"/>
            <w:vAlign w:val="bottom"/>
          </w:tcPr>
          <w:p>
            <w:pPr>
              <w:ind w:left="100"/>
              <w:spacing w:after="0"/>
              <w:rPr>
                <w:sz w:val="20"/>
                <w:szCs w:val="20"/>
                <w:color w:val="auto"/>
              </w:rPr>
            </w:pPr>
            <w:r>
              <w:rPr>
                <w:rFonts w:ascii="Arial" w:cs="Arial" w:eastAsia="Arial" w:hAnsi="Arial"/>
                <w:sz w:val="20"/>
                <w:szCs w:val="20"/>
                <w:b w:val="1"/>
                <w:bCs w:val="1"/>
                <w:color w:val="auto"/>
              </w:rPr>
              <w:t>Net operating loss carryforward</w:t>
            </w:r>
          </w:p>
        </w:tc>
        <w:tc>
          <w:tcPr>
            <w:tcW w:w="4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ind w:right="3"/>
              <w:spacing w:after="0"/>
              <w:rPr>
                <w:sz w:val="20"/>
                <w:szCs w:val="20"/>
                <w:color w:val="auto"/>
              </w:rPr>
            </w:pPr>
            <w:r>
              <w:rPr>
                <w:rFonts w:ascii="Arial" w:cs="Arial" w:eastAsia="Arial" w:hAnsi="Arial"/>
                <w:sz w:val="20"/>
                <w:szCs w:val="20"/>
                <w:b w:val="1"/>
                <w:bCs w:val="1"/>
                <w:color w:val="auto"/>
              </w:rPr>
              <w:t>66,024</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53,485</w:t>
            </w:r>
          </w:p>
        </w:tc>
        <w:tc>
          <w:tcPr>
            <w:tcW w:w="80" w:type="dxa"/>
            <w:vAlign w:val="bottom"/>
          </w:tcPr>
          <w:p>
            <w:pPr>
              <w:spacing w:after="0"/>
              <w:rPr>
                <w:sz w:val="21"/>
                <w:szCs w:val="21"/>
                <w:color w:val="auto"/>
              </w:rPr>
            </w:pPr>
          </w:p>
        </w:tc>
      </w:tr>
      <w:tr>
        <w:trPr>
          <w:trHeight w:val="245"/>
        </w:trPr>
        <w:tc>
          <w:tcPr>
            <w:tcW w:w="4220" w:type="dxa"/>
            <w:vAlign w:val="bottom"/>
          </w:tcPr>
          <w:p>
            <w:pPr>
              <w:ind w:left="100"/>
              <w:spacing w:after="0"/>
              <w:rPr>
                <w:sz w:val="20"/>
                <w:szCs w:val="20"/>
                <w:color w:val="auto"/>
              </w:rPr>
            </w:pPr>
            <w:r>
              <w:rPr>
                <w:rFonts w:ascii="Arial" w:cs="Arial" w:eastAsia="Arial" w:hAnsi="Arial"/>
                <w:sz w:val="20"/>
                <w:szCs w:val="20"/>
                <w:b w:val="1"/>
                <w:bCs w:val="1"/>
                <w:color w:val="auto"/>
              </w:rPr>
              <w:t>Research tax credits</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3"/>
              <w:spacing w:after="0"/>
              <w:rPr>
                <w:sz w:val="20"/>
                <w:szCs w:val="20"/>
                <w:color w:val="auto"/>
              </w:rPr>
            </w:pPr>
            <w:r>
              <w:rPr>
                <w:rFonts w:ascii="Arial" w:cs="Arial" w:eastAsia="Arial" w:hAnsi="Arial"/>
                <w:sz w:val="20"/>
                <w:szCs w:val="20"/>
                <w:b w:val="1"/>
                <w:bCs w:val="1"/>
                <w:color w:val="auto"/>
              </w:rPr>
              <w:t>12,169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11,353</w:t>
            </w:r>
          </w:p>
        </w:tc>
        <w:tc>
          <w:tcPr>
            <w:tcW w:w="80" w:type="dxa"/>
            <w:vAlign w:val="bottom"/>
          </w:tcPr>
          <w:p>
            <w:pPr>
              <w:spacing w:after="0"/>
              <w:rPr>
                <w:sz w:val="21"/>
                <w:szCs w:val="21"/>
                <w:color w:val="auto"/>
              </w:rPr>
            </w:pPr>
          </w:p>
        </w:tc>
      </w:tr>
      <w:tr>
        <w:trPr>
          <w:trHeight w:val="245"/>
        </w:trPr>
        <w:tc>
          <w:tcPr>
            <w:tcW w:w="4220" w:type="dxa"/>
            <w:vAlign w:val="bottom"/>
          </w:tcPr>
          <w:p>
            <w:pPr>
              <w:ind w:left="100"/>
              <w:spacing w:after="0"/>
              <w:rPr>
                <w:sz w:val="20"/>
                <w:szCs w:val="20"/>
                <w:color w:val="auto"/>
              </w:rPr>
            </w:pPr>
            <w:r>
              <w:rPr>
                <w:rFonts w:ascii="Arial" w:cs="Arial" w:eastAsia="Arial" w:hAnsi="Arial"/>
                <w:sz w:val="20"/>
                <w:szCs w:val="20"/>
                <w:b w:val="1"/>
                <w:bCs w:val="1"/>
                <w:color w:val="auto"/>
                <w:w w:val="88"/>
              </w:rPr>
              <w:t>Capitalized research and development expenses</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3"/>
              <w:spacing w:after="0"/>
              <w:rPr>
                <w:sz w:val="20"/>
                <w:szCs w:val="20"/>
                <w:color w:val="auto"/>
              </w:rPr>
            </w:pPr>
            <w:r>
              <w:rPr>
                <w:rFonts w:ascii="Arial" w:cs="Arial" w:eastAsia="Arial" w:hAnsi="Arial"/>
                <w:sz w:val="20"/>
                <w:szCs w:val="20"/>
                <w:b w:val="1"/>
                <w:bCs w:val="1"/>
                <w:color w:val="auto"/>
              </w:rPr>
              <w:t>21,547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27,436</w:t>
            </w:r>
          </w:p>
        </w:tc>
        <w:tc>
          <w:tcPr>
            <w:tcW w:w="80" w:type="dxa"/>
            <w:vAlign w:val="bottom"/>
          </w:tcPr>
          <w:p>
            <w:pPr>
              <w:spacing w:after="0"/>
              <w:rPr>
                <w:sz w:val="21"/>
                <w:szCs w:val="21"/>
                <w:color w:val="auto"/>
              </w:rPr>
            </w:pPr>
          </w:p>
        </w:tc>
      </w:tr>
      <w:tr>
        <w:trPr>
          <w:trHeight w:val="242"/>
        </w:trPr>
        <w:tc>
          <w:tcPr>
            <w:tcW w:w="4220" w:type="dxa"/>
            <w:vAlign w:val="bottom"/>
          </w:tcPr>
          <w:p>
            <w:pPr>
              <w:ind w:left="100"/>
              <w:spacing w:after="0"/>
              <w:rPr>
                <w:sz w:val="20"/>
                <w:szCs w:val="20"/>
                <w:color w:val="auto"/>
              </w:rPr>
            </w:pPr>
            <w:r>
              <w:rPr>
                <w:rFonts w:ascii="Arial" w:cs="Arial" w:eastAsia="Arial" w:hAnsi="Arial"/>
                <w:sz w:val="20"/>
                <w:szCs w:val="20"/>
                <w:b w:val="1"/>
                <w:bCs w:val="1"/>
                <w:color w:val="auto"/>
              </w:rPr>
              <w:t>Lease liability</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3"/>
              <w:spacing w:after="0"/>
              <w:rPr>
                <w:sz w:val="20"/>
                <w:szCs w:val="20"/>
                <w:color w:val="auto"/>
              </w:rPr>
            </w:pPr>
            <w:r>
              <w:rPr>
                <w:rFonts w:ascii="Arial" w:cs="Arial" w:eastAsia="Arial" w:hAnsi="Arial"/>
                <w:sz w:val="20"/>
                <w:szCs w:val="20"/>
                <w:b w:val="1"/>
                <w:bCs w:val="1"/>
                <w:color w:val="auto"/>
              </w:rPr>
              <w:t>6,605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7,137</w:t>
            </w:r>
          </w:p>
        </w:tc>
        <w:tc>
          <w:tcPr>
            <w:tcW w:w="80" w:type="dxa"/>
            <w:vAlign w:val="bottom"/>
          </w:tcPr>
          <w:p>
            <w:pPr>
              <w:spacing w:after="0"/>
              <w:rPr>
                <w:sz w:val="21"/>
                <w:szCs w:val="21"/>
                <w:color w:val="auto"/>
              </w:rPr>
            </w:pPr>
          </w:p>
        </w:tc>
      </w:tr>
      <w:tr>
        <w:trPr>
          <w:trHeight w:val="245"/>
        </w:trPr>
        <w:tc>
          <w:tcPr>
            <w:tcW w:w="4220" w:type="dxa"/>
            <w:vAlign w:val="bottom"/>
          </w:tcPr>
          <w:p>
            <w:pPr>
              <w:ind w:left="100"/>
              <w:spacing w:after="0"/>
              <w:rPr>
                <w:sz w:val="20"/>
                <w:szCs w:val="20"/>
                <w:color w:val="auto"/>
              </w:rPr>
            </w:pPr>
            <w:r>
              <w:rPr>
                <w:rFonts w:ascii="Arial" w:cs="Arial" w:eastAsia="Arial" w:hAnsi="Arial"/>
                <w:sz w:val="20"/>
                <w:szCs w:val="20"/>
                <w:b w:val="1"/>
                <w:bCs w:val="1"/>
                <w:color w:val="auto"/>
              </w:rPr>
              <w:t>Stock-based compensation</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3"/>
              <w:spacing w:after="0"/>
              <w:rPr>
                <w:sz w:val="20"/>
                <w:szCs w:val="20"/>
                <w:color w:val="auto"/>
              </w:rPr>
            </w:pPr>
            <w:r>
              <w:rPr>
                <w:rFonts w:ascii="Arial" w:cs="Arial" w:eastAsia="Arial" w:hAnsi="Arial"/>
                <w:sz w:val="20"/>
                <w:szCs w:val="20"/>
                <w:b w:val="1"/>
                <w:bCs w:val="1"/>
                <w:color w:val="auto"/>
              </w:rPr>
              <w:t>2,243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2,256</w:t>
            </w:r>
          </w:p>
        </w:tc>
        <w:tc>
          <w:tcPr>
            <w:tcW w:w="80" w:type="dxa"/>
            <w:vAlign w:val="bottom"/>
          </w:tcPr>
          <w:p>
            <w:pPr>
              <w:spacing w:after="0"/>
              <w:rPr>
                <w:sz w:val="21"/>
                <w:szCs w:val="21"/>
                <w:color w:val="auto"/>
              </w:rPr>
            </w:pPr>
          </w:p>
        </w:tc>
      </w:tr>
      <w:tr>
        <w:trPr>
          <w:trHeight w:val="245"/>
        </w:trPr>
        <w:tc>
          <w:tcPr>
            <w:tcW w:w="4220" w:type="dxa"/>
            <w:vAlign w:val="bottom"/>
          </w:tcPr>
          <w:p>
            <w:pPr>
              <w:ind w:left="100"/>
              <w:spacing w:after="0"/>
              <w:rPr>
                <w:sz w:val="20"/>
                <w:szCs w:val="20"/>
                <w:color w:val="auto"/>
              </w:rPr>
            </w:pPr>
            <w:r>
              <w:rPr>
                <w:rFonts w:ascii="Arial" w:cs="Arial" w:eastAsia="Arial" w:hAnsi="Arial"/>
                <w:sz w:val="20"/>
                <w:szCs w:val="20"/>
                <w:b w:val="1"/>
                <w:bCs w:val="1"/>
                <w:color w:val="auto"/>
              </w:rPr>
              <w:t>Reserves and accruals</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3"/>
              <w:spacing w:after="0"/>
              <w:rPr>
                <w:sz w:val="20"/>
                <w:szCs w:val="20"/>
                <w:color w:val="auto"/>
              </w:rPr>
            </w:pPr>
            <w:r>
              <w:rPr>
                <w:rFonts w:ascii="Arial" w:cs="Arial" w:eastAsia="Arial" w:hAnsi="Arial"/>
                <w:sz w:val="20"/>
                <w:szCs w:val="20"/>
                <w:b w:val="1"/>
                <w:bCs w:val="1"/>
                <w:color w:val="auto"/>
              </w:rPr>
              <w:t>551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1,585</w:t>
            </w:r>
          </w:p>
        </w:tc>
        <w:tc>
          <w:tcPr>
            <w:tcW w:w="80" w:type="dxa"/>
            <w:vAlign w:val="bottom"/>
          </w:tcPr>
          <w:p>
            <w:pPr>
              <w:spacing w:after="0"/>
              <w:rPr>
                <w:sz w:val="21"/>
                <w:szCs w:val="21"/>
                <w:color w:val="auto"/>
              </w:rPr>
            </w:pPr>
          </w:p>
        </w:tc>
      </w:tr>
      <w:tr>
        <w:trPr>
          <w:trHeight w:val="243"/>
        </w:trPr>
        <w:tc>
          <w:tcPr>
            <w:tcW w:w="4220" w:type="dxa"/>
            <w:vAlign w:val="bottom"/>
          </w:tcPr>
          <w:p>
            <w:pPr>
              <w:ind w:left="100"/>
              <w:spacing w:after="0"/>
              <w:rPr>
                <w:sz w:val="20"/>
                <w:szCs w:val="20"/>
                <w:color w:val="auto"/>
              </w:rPr>
            </w:pPr>
            <w:r>
              <w:rPr>
                <w:rFonts w:ascii="Arial" w:cs="Arial" w:eastAsia="Arial" w:hAnsi="Arial"/>
                <w:sz w:val="20"/>
                <w:szCs w:val="20"/>
                <w:b w:val="1"/>
                <w:bCs w:val="1"/>
                <w:color w:val="auto"/>
              </w:rPr>
              <w:t>Intangible assets</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b w:val="1"/>
                <w:bCs w:val="1"/>
                <w:color w:val="auto"/>
              </w:rPr>
              <w:t>110</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127</w:t>
            </w:r>
          </w:p>
        </w:tc>
        <w:tc>
          <w:tcPr>
            <w:tcW w:w="80" w:type="dxa"/>
            <w:vAlign w:val="bottom"/>
          </w:tcPr>
          <w:p>
            <w:pPr>
              <w:spacing w:after="0"/>
              <w:rPr>
                <w:sz w:val="21"/>
                <w:szCs w:val="21"/>
                <w:color w:val="auto"/>
              </w:rPr>
            </w:pPr>
          </w:p>
        </w:tc>
      </w:tr>
      <w:tr>
        <w:trPr>
          <w:trHeight w:val="239"/>
        </w:trPr>
        <w:tc>
          <w:tcPr>
            <w:tcW w:w="4220" w:type="dxa"/>
            <w:vAlign w:val="bottom"/>
          </w:tcPr>
          <w:p>
            <w:pPr>
              <w:ind w:left="200"/>
              <w:spacing w:after="0"/>
              <w:rPr>
                <w:sz w:val="20"/>
                <w:szCs w:val="20"/>
                <w:color w:val="auto"/>
              </w:rPr>
            </w:pPr>
            <w:r>
              <w:rPr>
                <w:rFonts w:ascii="Arial" w:cs="Arial" w:eastAsia="Arial" w:hAnsi="Arial"/>
                <w:sz w:val="20"/>
                <w:szCs w:val="20"/>
                <w:b w:val="1"/>
                <w:bCs w:val="1"/>
                <w:color w:val="auto"/>
              </w:rPr>
              <w:t>Total deferred tax assets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
              <w:spacing w:after="0"/>
              <w:rPr>
                <w:sz w:val="20"/>
                <w:szCs w:val="20"/>
                <w:color w:val="auto"/>
              </w:rPr>
            </w:pPr>
            <w:r>
              <w:rPr>
                <w:rFonts w:ascii="Arial" w:cs="Arial" w:eastAsia="Arial" w:hAnsi="Arial"/>
                <w:sz w:val="20"/>
                <w:szCs w:val="20"/>
                <w:b w:val="1"/>
                <w:bCs w:val="1"/>
                <w:color w:val="auto"/>
              </w:rPr>
              <w:t>109,249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103,379</w:t>
            </w:r>
          </w:p>
        </w:tc>
        <w:tc>
          <w:tcPr>
            <w:tcW w:w="80" w:type="dxa"/>
            <w:vAlign w:val="bottom"/>
          </w:tcPr>
          <w:p>
            <w:pPr>
              <w:spacing w:after="0"/>
              <w:rPr>
                <w:sz w:val="20"/>
                <w:szCs w:val="20"/>
                <w:color w:val="auto"/>
              </w:rPr>
            </w:pPr>
          </w:p>
        </w:tc>
      </w:tr>
      <w:tr>
        <w:trPr>
          <w:trHeight w:val="245"/>
        </w:trPr>
        <w:tc>
          <w:tcPr>
            <w:tcW w:w="4220" w:type="dxa"/>
            <w:vAlign w:val="bottom"/>
          </w:tcPr>
          <w:p>
            <w:pPr>
              <w:ind w:left="200"/>
              <w:spacing w:after="0"/>
              <w:rPr>
                <w:sz w:val="20"/>
                <w:szCs w:val="20"/>
                <w:color w:val="auto"/>
              </w:rPr>
            </w:pPr>
            <w:r>
              <w:rPr>
                <w:rFonts w:ascii="Arial" w:cs="Arial" w:eastAsia="Arial" w:hAnsi="Arial"/>
                <w:sz w:val="20"/>
                <w:szCs w:val="20"/>
                <w:b w:val="1"/>
                <w:bCs w:val="1"/>
                <w:color w:val="auto"/>
              </w:rPr>
              <w:t>Less valuation allowance</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(103,593)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(96,870)</w:t>
            </w:r>
          </w:p>
        </w:tc>
      </w:tr>
      <w:tr>
        <w:trPr>
          <w:trHeight w:val="239"/>
        </w:trPr>
        <w:tc>
          <w:tcPr>
            <w:tcW w:w="4220" w:type="dxa"/>
            <w:vAlign w:val="bottom"/>
          </w:tcPr>
          <w:p>
            <w:pPr>
              <w:ind w:left="300"/>
              <w:spacing w:after="0"/>
              <w:rPr>
                <w:sz w:val="20"/>
                <w:szCs w:val="20"/>
                <w:color w:val="auto"/>
              </w:rPr>
            </w:pPr>
            <w:r>
              <w:rPr>
                <w:rFonts w:ascii="Arial" w:cs="Arial" w:eastAsia="Arial" w:hAnsi="Arial"/>
                <w:sz w:val="20"/>
                <w:szCs w:val="20"/>
                <w:b w:val="1"/>
                <w:bCs w:val="1"/>
                <w:color w:val="auto"/>
              </w:rPr>
              <w:t>Net deferred tax assets</w:t>
            </w: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
              <w:spacing w:after="0"/>
              <w:rPr>
                <w:sz w:val="20"/>
                <w:szCs w:val="20"/>
                <w:color w:val="auto"/>
              </w:rPr>
            </w:pPr>
            <w:r>
              <w:rPr>
                <w:rFonts w:ascii="Arial" w:cs="Arial" w:eastAsia="Arial" w:hAnsi="Arial"/>
                <w:sz w:val="20"/>
                <w:szCs w:val="20"/>
                <w:b w:val="1"/>
                <w:bCs w:val="1"/>
                <w:color w:val="auto"/>
              </w:rPr>
              <w:t>5,656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6,509</w:t>
            </w:r>
          </w:p>
        </w:tc>
        <w:tc>
          <w:tcPr>
            <w:tcW w:w="80" w:type="dxa"/>
            <w:vAlign w:val="bottom"/>
          </w:tcPr>
          <w:p>
            <w:pPr>
              <w:spacing w:after="0"/>
              <w:rPr>
                <w:sz w:val="20"/>
                <w:szCs w:val="20"/>
                <w:color w:val="auto"/>
              </w:rPr>
            </w:pPr>
          </w:p>
        </w:tc>
      </w:tr>
      <w:tr>
        <w:trPr>
          <w:trHeight w:val="245"/>
        </w:trPr>
        <w:tc>
          <w:tcPr>
            <w:tcW w:w="4220" w:type="dxa"/>
            <w:vAlign w:val="bottom"/>
          </w:tcPr>
          <w:p>
            <w:pPr>
              <w:spacing w:after="0"/>
              <w:rPr>
                <w:sz w:val="20"/>
                <w:szCs w:val="20"/>
                <w:color w:val="auto"/>
              </w:rPr>
            </w:pPr>
            <w:r>
              <w:rPr>
                <w:rFonts w:ascii="Arial" w:cs="Arial" w:eastAsia="Arial" w:hAnsi="Arial"/>
                <w:sz w:val="20"/>
                <w:szCs w:val="20"/>
                <w:b w:val="1"/>
                <w:bCs w:val="1"/>
                <w:color w:val="auto"/>
              </w:rPr>
              <w:t>Deferred tax liabilities:</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4220" w:type="dxa"/>
            <w:vAlign w:val="bottom"/>
          </w:tcPr>
          <w:p>
            <w:pPr>
              <w:ind w:left="100"/>
              <w:spacing w:after="0"/>
              <w:rPr>
                <w:sz w:val="20"/>
                <w:szCs w:val="20"/>
                <w:color w:val="auto"/>
              </w:rPr>
            </w:pPr>
            <w:r>
              <w:rPr>
                <w:rFonts w:ascii="Arial" w:cs="Arial" w:eastAsia="Arial" w:hAnsi="Arial"/>
                <w:sz w:val="20"/>
                <w:szCs w:val="20"/>
                <w:b w:val="1"/>
                <w:bCs w:val="1"/>
                <w:color w:val="auto"/>
              </w:rPr>
              <w:t>Right-of-use assets</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(5,532)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(6,159)</w:t>
            </w:r>
          </w:p>
        </w:tc>
      </w:tr>
      <w:tr>
        <w:trPr>
          <w:trHeight w:val="245"/>
        </w:trPr>
        <w:tc>
          <w:tcPr>
            <w:tcW w:w="4220" w:type="dxa"/>
            <w:vAlign w:val="bottom"/>
          </w:tcPr>
          <w:p>
            <w:pPr>
              <w:ind w:left="100"/>
              <w:spacing w:after="0"/>
              <w:rPr>
                <w:sz w:val="20"/>
                <w:szCs w:val="20"/>
                <w:color w:val="auto"/>
              </w:rPr>
            </w:pPr>
            <w:r>
              <w:rPr>
                <w:rFonts w:ascii="Arial" w:cs="Arial" w:eastAsia="Arial" w:hAnsi="Arial"/>
                <w:sz w:val="20"/>
                <w:szCs w:val="20"/>
                <w:b w:val="1"/>
                <w:bCs w:val="1"/>
                <w:color w:val="auto"/>
              </w:rPr>
              <w:t>Property and equipment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(311)</w:t>
            </w:r>
          </w:p>
        </w:tc>
      </w:tr>
      <w:tr>
        <w:trPr>
          <w:trHeight w:val="245"/>
        </w:trPr>
        <w:tc>
          <w:tcPr>
            <w:tcW w:w="4220" w:type="dxa"/>
            <w:vAlign w:val="bottom"/>
          </w:tcPr>
          <w:p>
            <w:pPr>
              <w:ind w:left="100"/>
              <w:spacing w:after="0"/>
              <w:rPr>
                <w:sz w:val="20"/>
                <w:szCs w:val="20"/>
                <w:color w:val="auto"/>
              </w:rPr>
            </w:pPr>
            <w:r>
              <w:rPr>
                <w:rFonts w:ascii="Arial" w:cs="Arial" w:eastAsia="Arial" w:hAnsi="Arial"/>
                <w:sz w:val="20"/>
                <w:szCs w:val="20"/>
                <w:b w:val="1"/>
                <w:bCs w:val="1"/>
                <w:color w:val="auto"/>
              </w:rPr>
              <w:t>Prepaid assets</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(39</w:t>
            </w:r>
            <w:r>
              <w:rPr>
                <w:rFonts w:ascii="Arial" w:cs="Arial" w:eastAsia="Arial" w:hAnsi="Arial"/>
                <w:sz w:val="20"/>
                <w:szCs w:val="20"/>
                <w:b w:val="1"/>
                <w:bCs w:val="1"/>
                <w:color w:val="auto"/>
                <w:shd w:val="clear" w:color="auto" w:fill="E5E5E5"/>
              </w:rPr>
              <w:t>)</w:t>
            </w:r>
          </w:p>
        </w:tc>
      </w:tr>
      <w:tr>
        <w:trPr>
          <w:trHeight w:val="20"/>
        </w:trPr>
        <w:tc>
          <w:tcPr>
            <w:tcW w:w="4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9"/>
        </w:trPr>
        <w:tc>
          <w:tcPr>
            <w:tcW w:w="4220" w:type="dxa"/>
            <w:vAlign w:val="bottom"/>
          </w:tcPr>
          <w:p>
            <w:pPr>
              <w:ind w:left="200"/>
              <w:spacing w:after="0"/>
              <w:rPr>
                <w:sz w:val="20"/>
                <w:szCs w:val="20"/>
                <w:color w:val="auto"/>
              </w:rPr>
            </w:pPr>
            <w:r>
              <w:rPr>
                <w:rFonts w:ascii="Arial" w:cs="Arial" w:eastAsia="Arial" w:hAnsi="Arial"/>
                <w:sz w:val="20"/>
                <w:szCs w:val="20"/>
                <w:b w:val="1"/>
                <w:bCs w:val="1"/>
                <w:color w:val="auto"/>
              </w:rPr>
              <w:t>Total deferred tax liabilities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(5,656)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(6,509)</w:t>
            </w:r>
          </w:p>
        </w:tc>
      </w:tr>
      <w:tr>
        <w:trPr>
          <w:trHeight w:val="20"/>
        </w:trPr>
        <w:tc>
          <w:tcPr>
            <w:tcW w:w="4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4220" w:type="dxa"/>
            <w:vAlign w:val="bottom"/>
          </w:tcPr>
          <w:p>
            <w:pPr>
              <w:ind w:left="300"/>
              <w:spacing w:after="0"/>
              <w:rPr>
                <w:sz w:val="20"/>
                <w:szCs w:val="20"/>
                <w:color w:val="auto"/>
              </w:rPr>
            </w:pPr>
            <w:r>
              <w:rPr>
                <w:rFonts w:ascii="Arial" w:cs="Arial" w:eastAsia="Arial" w:hAnsi="Arial"/>
                <w:sz w:val="20"/>
                <w:szCs w:val="20"/>
                <w:b w:val="1"/>
                <w:bCs w:val="1"/>
                <w:color w:val="auto"/>
              </w:rPr>
              <w:t>Net deferred tax assets</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00" w:type="dxa"/>
            <w:vAlign w:val="bottom"/>
          </w:tcPr>
          <w:p>
            <w:pPr>
              <w:jc w:val="right"/>
              <w:ind w:right="3"/>
              <w:spacing w:after="0"/>
              <w:rPr>
                <w:sz w:val="20"/>
                <w:szCs w:val="20"/>
                <w:color w:val="auto"/>
              </w:rPr>
            </w:pPr>
            <w:r>
              <w:rPr>
                <w:rFonts w:ascii="Arial" w:cs="Arial" w:eastAsia="Arial" w:hAnsi="Arial"/>
                <w:sz w:val="20"/>
                <w:szCs w:val="20"/>
                <w:b w:val="1"/>
                <w:bCs w:val="1"/>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-2827655</wp:posOffset>
            </wp:positionV>
            <wp:extent cx="4339590" cy="53333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39590" cy="5333365"/>
                    </a:xfrm>
                    <a:prstGeom prst="rect">
                      <a:avLst/>
                    </a:prstGeom>
                    <a:noFill/>
                  </pic:spPr>
                </pic:pic>
              </a:graphicData>
            </a:graphic>
          </wp:anchor>
        </w:drawing>
      </w:r>
    </w:p>
    <w:p>
      <w:pPr>
        <w:spacing w:after="0" w:line="267"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b w:val="1"/>
          <w:bCs w:val="1"/>
          <w:color w:val="auto"/>
        </w:rPr>
        <w:t>A valuation allowance is required to be established when it is more likely than not that all or a portion of a deferred tax asset will not be realized. Realization of deferred tax assets is dependent upon future earnings, the timing and amount of which are uncertain. A full review of all positive and negative evidence needs to be considered. The Company has established a full valuation allowance against the net deferred tax assets as of December 31, 2025 and 2024 due to historical losses and uncertainty surrounding the use of such assets. The valuation allowance increased by $6.7 million between December 31, 2025 and December 31, 2024 primarily due to the generation of operating losses.</w:t>
      </w:r>
    </w:p>
    <w:p>
      <w:pPr>
        <w:spacing w:after="0" w:line="213" w:lineRule="exact"/>
        <w:rPr>
          <w:sz w:val="20"/>
          <w:szCs w:val="20"/>
          <w:color w:val="auto"/>
        </w:rPr>
      </w:pPr>
    </w:p>
    <w:p>
      <w:pPr>
        <w:ind w:right="440"/>
        <w:spacing w:after="0" w:line="274" w:lineRule="auto"/>
        <w:rPr>
          <w:sz w:val="20"/>
          <w:szCs w:val="20"/>
          <w:color w:val="auto"/>
        </w:rPr>
      </w:pPr>
      <w:r>
        <w:rPr>
          <w:rFonts w:ascii="Arial" w:cs="Arial" w:eastAsia="Arial" w:hAnsi="Arial"/>
          <w:sz w:val="18"/>
          <w:szCs w:val="18"/>
          <w:b w:val="1"/>
          <w:bCs w:val="1"/>
          <w:color w:val="auto"/>
        </w:rPr>
        <w:t>As required under ASU 2023-09, the Company has included only the portion of the valuation allowance related to federal deferred tax assets in the "change in valuation allowance" line of the rate reconciliation. The following table presents a reconciliation of the total change in the valuation allowance (in thousands):</w:t>
      </w:r>
    </w:p>
    <w:p>
      <w:pPr>
        <w:spacing w:after="0" w:line="105"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1"/>
              </w:rPr>
              <w:t>Years Ended December 31,</w:t>
            </w:r>
          </w:p>
        </w:tc>
      </w:tr>
      <w:tr>
        <w:trPr>
          <w:trHeight w:val="193"/>
        </w:trPr>
        <w:tc>
          <w:tcPr>
            <w:tcW w:w="3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6"/>
                <w:szCs w:val="16"/>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6"/>
                <w:szCs w:val="16"/>
                <w:b w:val="1"/>
                <w:bCs w:val="1"/>
                <w:color w:val="auto"/>
              </w:rPr>
              <w:t>2024</w:t>
            </w:r>
          </w:p>
        </w:tc>
      </w:tr>
      <w:tr>
        <w:trPr>
          <w:trHeight w:val="239"/>
        </w:trPr>
        <w:tc>
          <w:tcPr>
            <w:tcW w:w="3940" w:type="dxa"/>
            <w:vAlign w:val="bottom"/>
          </w:tcPr>
          <w:p>
            <w:pPr>
              <w:spacing w:after="0"/>
              <w:rPr>
                <w:sz w:val="20"/>
                <w:szCs w:val="20"/>
                <w:color w:val="auto"/>
              </w:rPr>
            </w:pPr>
            <w:r>
              <w:rPr>
                <w:rFonts w:ascii="Arial" w:cs="Arial" w:eastAsia="Arial" w:hAnsi="Arial"/>
                <w:sz w:val="20"/>
                <w:szCs w:val="20"/>
                <w:b w:val="1"/>
                <w:bCs w:val="1"/>
                <w:color w:val="auto"/>
              </w:rPr>
              <w:t>Balance at beginning of period</w:t>
            </w:r>
          </w:p>
        </w:tc>
        <w:tc>
          <w:tcPr>
            <w:tcW w:w="10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96,870</w:t>
            </w: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$ 83,680</w:t>
            </w:r>
          </w:p>
        </w:tc>
      </w:tr>
      <w:tr>
        <w:trPr>
          <w:trHeight w:val="243"/>
        </w:trPr>
        <w:tc>
          <w:tcPr>
            <w:tcW w:w="3940" w:type="dxa"/>
            <w:vAlign w:val="bottom"/>
          </w:tcPr>
          <w:p>
            <w:pPr>
              <w:spacing w:after="0"/>
              <w:rPr>
                <w:sz w:val="20"/>
                <w:szCs w:val="20"/>
                <w:color w:val="auto"/>
              </w:rPr>
            </w:pPr>
            <w:r>
              <w:rPr>
                <w:rFonts w:ascii="Arial" w:cs="Arial" w:eastAsia="Arial" w:hAnsi="Arial"/>
                <w:sz w:val="20"/>
                <w:szCs w:val="20"/>
                <w:b w:val="1"/>
                <w:bCs w:val="1"/>
                <w:color w:val="auto"/>
              </w:rPr>
              <w:t>Change charged to income tax expense</w:t>
            </w:r>
          </w:p>
        </w:tc>
        <w:tc>
          <w:tcPr>
            <w:tcW w:w="8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6,723</w:t>
            </w:r>
          </w:p>
        </w:tc>
        <w:tc>
          <w:tcPr>
            <w:tcW w:w="12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13,190</w:t>
            </w:r>
          </w:p>
        </w:tc>
      </w:tr>
      <w:tr>
        <w:trPr>
          <w:trHeight w:val="239"/>
        </w:trPr>
        <w:tc>
          <w:tcPr>
            <w:tcW w:w="3940" w:type="dxa"/>
            <w:vAlign w:val="bottom"/>
          </w:tcPr>
          <w:p>
            <w:pPr>
              <w:spacing w:after="0"/>
              <w:rPr>
                <w:sz w:val="20"/>
                <w:szCs w:val="20"/>
                <w:color w:val="auto"/>
              </w:rPr>
            </w:pPr>
            <w:r>
              <w:rPr>
                <w:rFonts w:ascii="Arial" w:cs="Arial" w:eastAsia="Arial" w:hAnsi="Arial"/>
                <w:sz w:val="20"/>
                <w:szCs w:val="20"/>
                <w:b w:val="1"/>
                <w:bCs w:val="1"/>
                <w:color w:val="auto"/>
              </w:rPr>
              <w:t>Balance at end of period</w:t>
            </w:r>
          </w:p>
        </w:tc>
        <w:tc>
          <w:tcPr>
            <w:tcW w:w="10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103,593</w:t>
            </w: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$ 96,870</w:t>
            </w:r>
          </w:p>
        </w:tc>
      </w:tr>
    </w:tbl>
    <w:p>
      <w:pPr>
        <w:spacing w:after="0" w:line="297" w:lineRule="exact"/>
        <w:rPr>
          <w:sz w:val="20"/>
          <w:szCs w:val="20"/>
          <w:color w:val="auto"/>
        </w:rPr>
      </w:pPr>
    </w:p>
    <w:p>
      <w:pPr>
        <w:spacing w:after="0" w:line="252" w:lineRule="auto"/>
        <w:rPr>
          <w:sz w:val="20"/>
          <w:szCs w:val="20"/>
          <w:color w:val="auto"/>
        </w:rPr>
      </w:pPr>
      <w:r>
        <w:rPr>
          <w:rFonts w:ascii="Arial" w:cs="Arial" w:eastAsia="Arial" w:hAnsi="Arial"/>
          <w:sz w:val="19"/>
          <w:szCs w:val="19"/>
          <w:b w:val="1"/>
          <w:bCs w:val="1"/>
          <w:color w:val="auto"/>
        </w:rPr>
        <w:t>As of December 31, 2025, the Company has net operating loss, or NOL, carryforwards for federal and state income tax purposes of $294.6 million and $351.1 million, respectively. The federal NOL carryforwards generated prior to 2018 and state NOL carryforwards, if not utilized, will expire beginning in 2035. Federal NOL carryforwards aggregating $290.2 million are not subject to expiration.</w:t>
      </w:r>
    </w:p>
    <w:p>
      <w:pPr>
        <w:spacing w:after="0" w:line="241"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b w:val="1"/>
          <w:bCs w:val="1"/>
          <w:color w:val="auto"/>
        </w:rPr>
        <w:t>The Company has research credit carryforwards for federal and state income tax purposes of approximately $12.3 million and $7.0 million, respectively, as of December 31, 2025. The federal credits begin to expire in 2038 and the state credits can be carried forward indefinitely.</w:t>
      </w:r>
    </w:p>
    <w:p>
      <w:pPr>
        <w:spacing w:after="0" w:line="253" w:lineRule="exact"/>
        <w:rPr>
          <w:sz w:val="20"/>
          <w:szCs w:val="20"/>
          <w:color w:val="auto"/>
        </w:rPr>
      </w:pPr>
    </w:p>
    <w:p>
      <w:pPr>
        <w:jc w:val="both"/>
        <w:ind w:right="20"/>
        <w:spacing w:after="0" w:line="351" w:lineRule="auto"/>
        <w:rPr>
          <w:sz w:val="20"/>
          <w:szCs w:val="20"/>
          <w:color w:val="auto"/>
        </w:rPr>
      </w:pPr>
      <w:r>
        <w:rPr>
          <w:rFonts w:ascii="Arial" w:cs="Arial" w:eastAsia="Arial" w:hAnsi="Arial"/>
          <w:sz w:val="15"/>
          <w:szCs w:val="15"/>
          <w:b w:val="1"/>
          <w:bCs w:val="1"/>
          <w:color w:val="auto"/>
        </w:rPr>
        <w:t>Utilization of some of the federal and state NOL and credit carryforwards may be subject to annual limitations due to the change in ownership provisions of the Internal Revenue Code of 1986 and similar state provisions. The annual limitation may result in the expiration of NOL and credit carryforwards before utilization. The Company has performed a Section</w:t>
      </w:r>
    </w:p>
    <w:p>
      <w:pPr>
        <w:sectPr>
          <w:pgSz w:w="12240" w:h="15840" w:orient="portrait"/>
          <w:cols w:equalWidth="0" w:num="1">
            <w:col w:w="9700"/>
          </w:cols>
          <w:pgMar w:left="1260" w:top="1320" w:right="1280" w:bottom="181"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108</w:t>
      </w:r>
    </w:p>
    <w:p>
      <w:pPr>
        <w:sectPr>
          <w:pgSz w:w="12240" w:h="15840" w:orient="portrait"/>
          <w:cols w:equalWidth="0" w:num="1">
            <w:col w:w="9700"/>
          </w:cols>
          <w:pgMar w:left="1260" w:top="1320" w:right="1280" w:bottom="181" w:gutter="0" w:footer="0" w:header="0"/>
          <w:type w:val="continuous"/>
        </w:sectPr>
      </w:pPr>
    </w:p>
    <w:bookmarkStart w:id="148" w:name="page149"/>
    <w:bookmarkEnd w:id="148"/>
    <w:p>
      <w:pPr>
        <w:ind w:right="320"/>
        <w:spacing w:after="0" w:line="312" w:lineRule="auto"/>
        <w:rPr>
          <w:sz w:val="20"/>
          <w:szCs w:val="20"/>
          <w:color w:val="auto"/>
        </w:rPr>
      </w:pPr>
      <w:r>
        <w:rPr>
          <w:rFonts w:ascii="Arial" w:cs="Arial" w:eastAsia="Arial" w:hAnsi="Arial"/>
          <w:sz w:val="17"/>
          <w:szCs w:val="17"/>
          <w:b w:val="1"/>
          <w:bCs w:val="1"/>
          <w:color w:val="auto"/>
        </w:rPr>
        <w:t>382 study as of September 30, 2023 and expects approximately $2.8 million of federal research and development tax credits and $51.0 million of California NOL carryforwards to expire unused due to Section 382 limitations.</w:t>
      </w:r>
    </w:p>
    <w:p>
      <w:pPr>
        <w:spacing w:after="0" w:line="190"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b w:val="1"/>
          <w:bCs w:val="1"/>
          <w:color w:val="auto"/>
        </w:rPr>
        <w:t>The Company files tax returns in the United States, California and various states. The Company is not currently under examination in any of these jurisdictions and all of the Company’s tax years remain effectively open to examination due to NOL carryforwards.</w:t>
      </w:r>
    </w:p>
    <w:p>
      <w:pPr>
        <w:spacing w:after="0" w:line="253"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b w:val="1"/>
          <w:bCs w:val="1"/>
          <w:color w:val="auto"/>
        </w:rPr>
        <w:t>The Company recognizes a tax benefit from uncertain tax positions when it is more likely than not that the position will be sustained upon examination, including resolutions of any related appeals or litigation processes, based on the technical merits. Due to the existence of the full valuation allowance, future changes in unrecognized tax benefits will not impact the Company’s effective tax rate.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table summarizes the activity in the Company’s gross unrecognized tax benefits (in thousands):</w:t>
      </w:r>
    </w:p>
    <w:p>
      <w:pPr>
        <w:spacing w:after="0" w:line="257" w:lineRule="exact"/>
        <w:rPr>
          <w:sz w:val="20"/>
          <w:szCs w:val="20"/>
          <w:color w:val="auto"/>
        </w:rPr>
      </w:pPr>
    </w:p>
    <w:tbl>
      <w:tblPr>
        <w:tblLayout w:type="fixed"/>
        <w:tblInd w:w="146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64"/>
              <w:spacing w:after="0"/>
              <w:rPr>
                <w:sz w:val="20"/>
                <w:szCs w:val="20"/>
                <w:color w:val="auto"/>
              </w:rPr>
            </w:pPr>
            <w:r>
              <w:rPr>
                <w:rFonts w:ascii="Arial" w:cs="Arial" w:eastAsia="Arial" w:hAnsi="Arial"/>
                <w:sz w:val="16"/>
                <w:szCs w:val="16"/>
                <w:b w:val="1"/>
                <w:bCs w:val="1"/>
                <w:color w:val="auto"/>
                <w:w w:val="91"/>
              </w:rPr>
              <w:t>Years Ended December 31,</w:t>
            </w:r>
          </w:p>
        </w:tc>
      </w:tr>
      <w:tr>
        <w:trPr>
          <w:trHeight w:val="192"/>
        </w:trPr>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7"/>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rPr>
              <w:t>2024</w:t>
            </w:r>
          </w:p>
        </w:tc>
      </w:tr>
      <w:tr>
        <w:trPr>
          <w:trHeight w:val="238"/>
        </w:trPr>
        <w:tc>
          <w:tcPr>
            <w:tcW w:w="4540" w:type="dxa"/>
            <w:vAlign w:val="bottom"/>
          </w:tcPr>
          <w:p>
            <w:pPr>
              <w:spacing w:after="0"/>
              <w:rPr>
                <w:sz w:val="20"/>
                <w:szCs w:val="20"/>
                <w:color w:val="auto"/>
              </w:rPr>
            </w:pPr>
            <w:r>
              <w:rPr>
                <w:rFonts w:ascii="Arial" w:cs="Arial" w:eastAsia="Arial" w:hAnsi="Arial"/>
                <w:sz w:val="20"/>
                <w:szCs w:val="20"/>
                <w:b w:val="1"/>
                <w:bCs w:val="1"/>
                <w:color w:val="auto"/>
              </w:rPr>
              <w:t>Balance at beginning of period</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23,832</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18,748</w:t>
            </w:r>
          </w:p>
        </w:tc>
      </w:tr>
      <w:tr>
        <w:trPr>
          <w:trHeight w:val="245"/>
        </w:trPr>
        <w:tc>
          <w:tcPr>
            <w:tcW w:w="4540" w:type="dxa"/>
            <w:vAlign w:val="bottom"/>
          </w:tcPr>
          <w:p>
            <w:pPr>
              <w:spacing w:after="0"/>
              <w:rPr>
                <w:sz w:val="20"/>
                <w:szCs w:val="20"/>
                <w:color w:val="auto"/>
              </w:rPr>
            </w:pPr>
            <w:r>
              <w:rPr>
                <w:rFonts w:ascii="Arial" w:cs="Arial" w:eastAsia="Arial" w:hAnsi="Arial"/>
                <w:sz w:val="20"/>
                <w:szCs w:val="20"/>
                <w:b w:val="1"/>
                <w:bCs w:val="1"/>
                <w:color w:val="auto"/>
              </w:rPr>
              <w:t>Decrease related to prior year positions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45"/>
        </w:trPr>
        <w:tc>
          <w:tcPr>
            <w:tcW w:w="4540" w:type="dxa"/>
            <w:vAlign w:val="bottom"/>
          </w:tcPr>
          <w:p>
            <w:pPr>
              <w:spacing w:after="0"/>
              <w:rPr>
                <w:sz w:val="20"/>
                <w:szCs w:val="20"/>
                <w:color w:val="auto"/>
              </w:rPr>
            </w:pPr>
            <w:r>
              <w:rPr>
                <w:rFonts w:ascii="Arial" w:cs="Arial" w:eastAsia="Arial" w:hAnsi="Arial"/>
                <w:sz w:val="20"/>
                <w:szCs w:val="20"/>
                <w:b w:val="1"/>
                <w:bCs w:val="1"/>
                <w:color w:val="auto"/>
              </w:rPr>
              <w:t>Increase related to current year positions</w:t>
            </w: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2,943</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5,084</w:t>
            </w:r>
          </w:p>
        </w:tc>
      </w:tr>
      <w:tr>
        <w:trPr>
          <w:trHeight w:val="239"/>
        </w:trPr>
        <w:tc>
          <w:tcPr>
            <w:tcW w:w="4540" w:type="dxa"/>
            <w:vAlign w:val="bottom"/>
          </w:tcPr>
          <w:p>
            <w:pPr>
              <w:spacing w:after="0"/>
              <w:rPr>
                <w:sz w:val="20"/>
                <w:szCs w:val="20"/>
                <w:color w:val="auto"/>
              </w:rPr>
            </w:pPr>
            <w:r>
              <w:rPr>
                <w:rFonts w:ascii="Arial" w:cs="Arial" w:eastAsia="Arial" w:hAnsi="Arial"/>
                <w:sz w:val="20"/>
                <w:szCs w:val="20"/>
                <w:b w:val="1"/>
                <w:bCs w:val="1"/>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26,775</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23,832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-786765</wp:posOffset>
            </wp:positionV>
            <wp:extent cx="4339590" cy="8286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39590" cy="828675"/>
                    </a:xfrm>
                    <a:prstGeom prst="rect">
                      <a:avLst/>
                    </a:prstGeom>
                    <a:noFill/>
                  </pic:spPr>
                </pic:pic>
              </a:graphicData>
            </a:graphic>
          </wp:anchor>
        </w:drawing>
      </w:r>
    </w:p>
    <w:p>
      <w:pPr>
        <w:spacing w:after="0" w:line="264" w:lineRule="exact"/>
        <w:rPr>
          <w:sz w:val="20"/>
          <w:szCs w:val="20"/>
          <w:color w:val="auto"/>
        </w:rPr>
      </w:pPr>
    </w:p>
    <w:p>
      <w:pPr>
        <w:spacing w:after="0" w:line="236" w:lineRule="auto"/>
        <w:rPr>
          <w:sz w:val="20"/>
          <w:szCs w:val="20"/>
          <w:color w:val="auto"/>
        </w:rPr>
      </w:pPr>
      <w:r>
        <w:rPr>
          <w:rFonts w:ascii="Arial" w:cs="Arial" w:eastAsia="Arial" w:hAnsi="Arial"/>
          <w:sz w:val="20"/>
          <w:szCs w:val="20"/>
          <w:b w:val="1"/>
          <w:bCs w:val="1"/>
          <w:color w:val="auto"/>
        </w:rPr>
        <w:t>During the years ended December 31, 2025 and 2024, no interest or penalties were required to be recognized relating for unrecognized tax benefits. In the event the Company should need to recognize interest and penalties related to unrecognized income tax liabilities, this amount will be recorded as an accrued liability and an increase to income tax expense.</w:t>
      </w:r>
    </w:p>
    <w:p>
      <w:pPr>
        <w:sectPr>
          <w:pgSz w:w="12240" w:h="15840" w:orient="portrait"/>
          <w:cols w:equalWidth="0" w:num="1">
            <w:col w:w="9660"/>
          </w:cols>
          <w:pgMar w:left="1260" w:top="1089" w:right="132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109</w:t>
      </w:r>
    </w:p>
    <w:p>
      <w:pPr>
        <w:sectPr>
          <w:pgSz w:w="12240" w:h="15840" w:orient="portrait"/>
          <w:cols w:equalWidth="0" w:num="1">
            <w:col w:w="9660"/>
          </w:cols>
          <w:pgMar w:left="1260" w:top="1089" w:right="1320" w:bottom="181" w:gutter="0" w:footer="0" w:header="0"/>
          <w:type w:val="continuous"/>
        </w:sectPr>
      </w:pPr>
    </w:p>
    <w:bookmarkStart w:id="149" w:name="page150"/>
    <w:bookmarkEnd w:id="149"/>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in our reports filed or submitted under the Exchange Act is accumulated and communicated to management, including our Chief Executive Officer and Chief Financial Officer, to allow timely decisions regarding required disclosure. Based on his evaluation as of December 31, 2025, the Chief Executive Officer and Chief Financial Officer have concluded that our disclosure controls and procedures (as defined in Rules 13a-15(e) and 15d-15(e) under the Exchange Act) were effective at the reasonable assurance level.</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128"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b w:val="1"/>
          <w:bCs w:val="1"/>
          <w:color w:val="auto"/>
        </w:rPr>
        <w:t>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and includes those policies and procedures that:</w:t>
      </w:r>
    </w:p>
    <w:p>
      <w:pPr>
        <w:spacing w:after="0" w:line="99" w:lineRule="exact"/>
        <w:rPr>
          <w:sz w:val="20"/>
          <w:szCs w:val="20"/>
          <w:color w:val="auto"/>
        </w:rPr>
      </w:pPr>
    </w:p>
    <w:p>
      <w:pPr>
        <w:ind w:left="860" w:right="240"/>
        <w:spacing w:after="0" w:line="233" w:lineRule="auto"/>
        <w:rPr>
          <w:sz w:val="20"/>
          <w:szCs w:val="20"/>
          <w:color w:val="auto"/>
        </w:rPr>
      </w:pPr>
      <w:r>
        <w:rPr>
          <w:rFonts w:ascii="Arial" w:cs="Arial" w:eastAsia="Arial" w:hAnsi="Arial"/>
          <w:sz w:val="20"/>
          <w:szCs w:val="20"/>
          <w:b w:val="1"/>
          <w:bCs w:val="1"/>
          <w:color w:val="auto"/>
        </w:rPr>
        <w:t>pertain to the maintenance of records that, in reasonable detail, accurately and fairly reflect the transactions and dispositions of our assets;</w:t>
      </w:r>
    </w:p>
    <w:p>
      <w:pPr>
        <w:spacing w:after="0" w:line="146" w:lineRule="exact"/>
        <w:rPr>
          <w:sz w:val="20"/>
          <w:szCs w:val="20"/>
          <w:color w:val="auto"/>
        </w:rPr>
      </w:pPr>
    </w:p>
    <w:p>
      <w:pPr>
        <w:ind w:left="860" w:right="20"/>
        <w:spacing w:after="0" w:line="353" w:lineRule="auto"/>
        <w:rPr>
          <w:sz w:val="20"/>
          <w:szCs w:val="20"/>
          <w:color w:val="auto"/>
        </w:rPr>
      </w:pPr>
      <w:r>
        <w:rPr>
          <w:rFonts w:ascii="Arial" w:cs="Arial" w:eastAsia="Arial" w:hAnsi="Arial"/>
          <w:sz w:val="15"/>
          <w:szCs w:val="15"/>
          <w:b w:val="1"/>
          <w:bCs w:val="1"/>
          <w:color w:val="auto"/>
        </w:rPr>
        <w:t>provide reasonable assurance that transactions are recorded as necessary to permit preparation of consolidated financial statements in accordance with generally accepted accounting principles, and that our receipts and expenditures are being made only in accordance with authorizations of our management and directors; and</w:t>
      </w:r>
    </w:p>
    <w:p>
      <w:pPr>
        <w:spacing w:after="0" w:line="64" w:lineRule="exact"/>
        <w:rPr>
          <w:sz w:val="20"/>
          <w:szCs w:val="20"/>
          <w:color w:val="auto"/>
        </w:rPr>
      </w:pPr>
    </w:p>
    <w:p>
      <w:pPr>
        <w:ind w:left="860" w:right="380"/>
        <w:spacing w:after="0" w:line="312" w:lineRule="auto"/>
        <w:rPr>
          <w:sz w:val="20"/>
          <w:szCs w:val="20"/>
          <w:color w:val="auto"/>
        </w:rPr>
      </w:pPr>
      <w:r>
        <w:rPr>
          <w:rFonts w:ascii="Arial" w:cs="Arial" w:eastAsia="Arial" w:hAnsi="Arial"/>
          <w:sz w:val="17"/>
          <w:szCs w:val="17"/>
          <w:b w:val="1"/>
          <w:bCs w:val="1"/>
          <w:color w:val="auto"/>
        </w:rPr>
        <w:t>provide reasonable assurance regarding prevention or timely detection of unauthorized acquisition, use or disposition of our assets that could have a material effect on our consolidated financial statements.</w:t>
      </w:r>
    </w:p>
    <w:p>
      <w:pPr>
        <w:spacing w:after="0" w:line="213" w:lineRule="exact"/>
        <w:rPr>
          <w:sz w:val="20"/>
          <w:szCs w:val="20"/>
          <w:color w:val="auto"/>
        </w:rPr>
      </w:pPr>
    </w:p>
    <w:p>
      <w:pPr>
        <w:ind w:right="320"/>
        <w:spacing w:after="0" w:line="237" w:lineRule="auto"/>
        <w:rPr>
          <w:sz w:val="20"/>
          <w:szCs w:val="20"/>
          <w:color w:val="auto"/>
        </w:rPr>
      </w:pPr>
      <w:r>
        <w:rPr>
          <w:rFonts w:ascii="Arial" w:cs="Arial" w:eastAsia="Arial" w:hAnsi="Arial"/>
          <w:sz w:val="20"/>
          <w:szCs w:val="20"/>
          <w:b w:val="1"/>
          <w:bCs w:val="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3"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b w:val="1"/>
          <w:bCs w:val="1"/>
          <w:color w:val="auto"/>
        </w:rPr>
        <w:t>Management under the supervision of and with the participation of the Chief Executive Officer and Chief Financial Officer, has assessed the effectiveness of our internal control over financial reporting as of December 31, 2025. In making its assessment of internal control over financial reporting, management used the criteria established in Internal Control—Integrated Framework (2013) issued by the Committee of Sponsoring Organizations of the Treadway Commission (COSO). Based on this evaluation, management concluded that our internal control over financial reporting was effective as of December 31, 2025.</w:t>
      </w:r>
    </w:p>
    <w:p>
      <w:pPr>
        <w:spacing w:after="0" w:line="243" w:lineRule="exact"/>
        <w:rPr>
          <w:sz w:val="20"/>
          <w:szCs w:val="20"/>
          <w:color w:val="auto"/>
        </w:rPr>
      </w:pPr>
    </w:p>
    <w:p>
      <w:pPr>
        <w:ind w:right="20"/>
        <w:spacing w:after="0" w:line="332" w:lineRule="auto"/>
        <w:rPr>
          <w:sz w:val="20"/>
          <w:szCs w:val="20"/>
          <w:color w:val="auto"/>
        </w:rPr>
      </w:pPr>
      <w:r>
        <w:rPr>
          <w:rFonts w:ascii="Arial" w:cs="Arial" w:eastAsia="Arial" w:hAnsi="Arial"/>
          <w:sz w:val="15"/>
          <w:szCs w:val="15"/>
          <w:b w:val="1"/>
          <w:bCs w:val="1"/>
          <w:color w:val="auto"/>
        </w:rPr>
        <w:t>This Annual Report does not include an audit report of the Company's independent registered public accounting firm regarding internal control over financial reporting. Management's report was not subject to audit by our independent registered public accounting firm pursuant to rules of the Securities and Exchange Commission that permit us to provide only management's report in this Annual Report on Form 10-K. In addition, because we are an “emerging growth company” defined in the JOBS Act, our independent registered public accounting firm will not be required to attest to the effectiveness of our internal control over financial reporting for so long as we are an emerging growth company.</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31" w:lineRule="exact"/>
        <w:rPr>
          <w:sz w:val="20"/>
          <w:szCs w:val="20"/>
          <w:color w:val="auto"/>
        </w:rPr>
      </w:pPr>
    </w:p>
    <w:p>
      <w:pPr>
        <w:ind w:right="100"/>
        <w:spacing w:after="0" w:line="235" w:lineRule="auto"/>
        <w:rPr>
          <w:sz w:val="20"/>
          <w:szCs w:val="20"/>
          <w:color w:val="auto"/>
        </w:rPr>
      </w:pPr>
      <w:r>
        <w:rPr>
          <w:rFonts w:ascii="Arial" w:cs="Arial" w:eastAsia="Arial" w:hAnsi="Arial"/>
          <w:sz w:val="20"/>
          <w:szCs w:val="20"/>
          <w:b w:val="1"/>
          <w:bCs w:val="1"/>
          <w:color w:val="auto"/>
        </w:rPr>
        <w:t>There were no material changes in our internal control over financial reporting in the three months ended December 31, 2025 that have materially affected, or are reasonably likely to materially affect, our internal control over financial reporting.</w:t>
      </w:r>
    </w:p>
    <w:p>
      <w:pPr>
        <w:sectPr>
          <w:pgSz w:w="12240" w:h="15840" w:orient="portrait"/>
          <w:cols w:equalWidth="0" w:num="1">
            <w:col w:w="9680"/>
          </w:cols>
          <w:pgMar w:left="1260" w:top="1079" w:right="1300" w:bottom="181"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110</w:t>
      </w:r>
    </w:p>
    <w:p>
      <w:pPr>
        <w:sectPr>
          <w:pgSz w:w="12240" w:h="15840" w:orient="portrait"/>
          <w:cols w:equalWidth="0" w:num="1">
            <w:col w:w="9680"/>
          </w:cols>
          <w:pgMar w:left="1260" w:top="1079" w:right="1300" w:bottom="181" w:gutter="0" w:footer="0" w:header="0"/>
          <w:type w:val="continuous"/>
        </w:sectPr>
      </w:pPr>
    </w:p>
    <w:bookmarkStart w:id="150" w:name="page151"/>
    <w:bookmarkEnd w:id="150"/>
    <w:p>
      <w:pPr>
        <w:spacing w:after="0"/>
        <w:rPr>
          <w:sz w:val="20"/>
          <w:szCs w:val="20"/>
          <w:color w:val="auto"/>
        </w:rPr>
      </w:pPr>
      <w:r>
        <w:rPr>
          <w:rFonts w:ascii="Arial" w:cs="Arial" w:eastAsia="Arial" w:hAnsi="Arial"/>
          <w:sz w:val="20"/>
          <w:szCs w:val="20"/>
          <w:b w:val="1"/>
          <w:bCs w:val="1"/>
          <w:color w:val="auto"/>
        </w:rPr>
        <w:t>Item 9B. Other Information.</w:t>
      </w:r>
    </w:p>
    <w:p>
      <w:pPr>
        <w:spacing w:after="0" w:line="131"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b w:val="1"/>
          <w:bCs w:val="1"/>
          <w:color w:val="auto"/>
        </w:rPr>
        <w:t>During the three months ended December 31, 2025, none of our directors or officers (as defined in Rule 16a-1(f) under the Exchange Act) adopted or terminated any “Rule 10b5-1 trading arrangement” or “non-Rule 10b5-1 trading arrangement,” as those terms are defined in Item 408 of Regulation S-K.</w:t>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 applicable.</w:t>
      </w:r>
    </w:p>
    <w:p>
      <w:pPr>
        <w:sectPr>
          <w:pgSz w:w="12240" w:h="15840" w:orient="portrait"/>
          <w:cols w:equalWidth="0" w:num="1">
            <w:col w:w="9540"/>
          </w:cols>
          <w:pgMar w:left="1260" w:top="1079"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111</w:t>
      </w:r>
    </w:p>
    <w:p>
      <w:pPr>
        <w:sectPr>
          <w:pgSz w:w="12240" w:h="15840" w:orient="portrait"/>
          <w:cols w:equalWidth="0" w:num="1">
            <w:col w:w="9540"/>
          </w:cols>
          <w:pgMar w:left="1260" w:top="1079" w:right="1440" w:bottom="181" w:gutter="0" w:footer="0" w:header="0"/>
          <w:type w:val="continuous"/>
        </w:sectPr>
      </w:pPr>
    </w:p>
    <w:bookmarkStart w:id="151" w:name="page152"/>
    <w:bookmarkEnd w:id="151"/>
    <w:p>
      <w:pPr>
        <w:jc w:val="center"/>
        <w:ind w:right="-39"/>
        <w:spacing w:after="0"/>
        <w:rPr>
          <w:sz w:val="20"/>
          <w:szCs w:val="20"/>
          <w:color w:val="auto"/>
        </w:rPr>
      </w:pPr>
      <w:r>
        <w:rPr>
          <w:rFonts w:ascii="Arial" w:cs="Arial" w:eastAsia="Arial" w:hAnsi="Arial"/>
          <w:sz w:val="20"/>
          <w:szCs w:val="20"/>
          <w:b w:val="1"/>
          <w:bCs w:val="1"/>
          <w:color w:val="auto"/>
        </w:rPr>
        <w:t>PART III</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Identification of Directors and Executive Officers</w:t>
      </w:r>
    </w:p>
    <w:p>
      <w:pPr>
        <w:spacing w:after="0" w:line="131" w:lineRule="exact"/>
        <w:rPr>
          <w:sz w:val="20"/>
          <w:szCs w:val="20"/>
          <w:color w:val="auto"/>
        </w:rPr>
      </w:pPr>
    </w:p>
    <w:p>
      <w:pPr>
        <w:ind w:right="300"/>
        <w:spacing w:after="0" w:line="274" w:lineRule="auto"/>
        <w:rPr>
          <w:sz w:val="20"/>
          <w:szCs w:val="20"/>
          <w:color w:val="auto"/>
        </w:rPr>
      </w:pPr>
      <w:r>
        <w:rPr>
          <w:rFonts w:ascii="Arial" w:cs="Arial" w:eastAsia="Arial" w:hAnsi="Arial"/>
          <w:sz w:val="18"/>
          <w:szCs w:val="18"/>
          <w:b w:val="1"/>
          <w:bCs w:val="1"/>
          <w:color w:val="auto"/>
        </w:rPr>
        <w:t>Information regarding directors and executive officers required by this item will be contained in our 2026 Proxy Statement under the captions “Proposal 1: Election of Directors,” “Information Regarding the Board of Directors and Corporate Governance” and “Executive Officers,” and is hereby incorporated by reference.</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Identification of Audit Committee</w:t>
      </w:r>
    </w:p>
    <w:p>
      <w:pPr>
        <w:spacing w:after="0" w:line="131" w:lineRule="exact"/>
        <w:rPr>
          <w:sz w:val="20"/>
          <w:szCs w:val="20"/>
          <w:color w:val="auto"/>
        </w:rPr>
      </w:pPr>
    </w:p>
    <w:p>
      <w:pPr>
        <w:jc w:val="both"/>
        <w:ind w:right="160"/>
        <w:spacing w:after="0" w:line="235" w:lineRule="auto"/>
        <w:rPr>
          <w:sz w:val="20"/>
          <w:szCs w:val="20"/>
          <w:color w:val="auto"/>
        </w:rPr>
      </w:pPr>
      <w:r>
        <w:rPr>
          <w:rFonts w:ascii="Arial" w:cs="Arial" w:eastAsia="Arial" w:hAnsi="Arial"/>
          <w:sz w:val="20"/>
          <w:szCs w:val="20"/>
          <w:b w:val="1"/>
          <w:bCs w:val="1"/>
          <w:color w:val="auto"/>
        </w:rPr>
        <w:t>Information regarding our Audit Committee required by this item will be contained in our 2026 Proxy Statement under the caption “Information Regarding the Board of Directors and Corporate Governance,” and is hereby incorporated by reference.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Material Changes to Procedures for Recommending Directors</w:t>
      </w:r>
    </w:p>
    <w:p>
      <w:pPr>
        <w:spacing w:after="0" w:line="131" w:lineRule="exact"/>
        <w:rPr>
          <w:sz w:val="20"/>
          <w:szCs w:val="20"/>
          <w:color w:val="auto"/>
        </w:rPr>
      </w:pPr>
    </w:p>
    <w:p>
      <w:pPr>
        <w:jc w:val="both"/>
        <w:ind w:right="60"/>
        <w:spacing w:after="0" w:line="236" w:lineRule="auto"/>
        <w:rPr>
          <w:sz w:val="20"/>
          <w:szCs w:val="20"/>
          <w:color w:val="auto"/>
        </w:rPr>
      </w:pPr>
      <w:r>
        <w:rPr>
          <w:rFonts w:ascii="Arial" w:cs="Arial" w:eastAsia="Arial" w:hAnsi="Arial"/>
          <w:sz w:val="20"/>
          <w:szCs w:val="20"/>
          <w:b w:val="1"/>
          <w:bCs w:val="1"/>
          <w:color w:val="auto"/>
        </w:rPr>
        <w:t>Information regarding procedures for recommending directors required by this item will be contained in our 2026 Proxy Statement under the caption “Information Regarding the Board of Directors and Corporate Governance,” and is hereby incorporated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Delinquent Section 16(a) Reports</w:t>
      </w:r>
    </w:p>
    <w:p>
      <w:pPr>
        <w:spacing w:after="0" w:line="131" w:lineRule="exact"/>
        <w:rPr>
          <w:sz w:val="20"/>
          <w:szCs w:val="20"/>
          <w:color w:val="auto"/>
        </w:rPr>
      </w:pPr>
    </w:p>
    <w:p>
      <w:pPr>
        <w:ind w:right="60"/>
        <w:spacing w:after="0" w:line="236" w:lineRule="auto"/>
        <w:rPr>
          <w:sz w:val="20"/>
          <w:szCs w:val="20"/>
          <w:color w:val="auto"/>
        </w:rPr>
      </w:pPr>
      <w:r>
        <w:rPr>
          <w:rFonts w:ascii="Arial" w:cs="Arial" w:eastAsia="Arial" w:hAnsi="Arial"/>
          <w:sz w:val="20"/>
          <w:szCs w:val="20"/>
          <w:b w:val="1"/>
          <w:bCs w:val="1"/>
          <w:color w:val="auto"/>
        </w:rPr>
        <w:t>Information regarding compliance with Section 16(a) of the Exchange Act required by this item will be contained in our 2026 Proxy Statement under the caption “Delinquent Section 16(a) Reports,” and such disclosure, if any, is hereby incorporated by reference.</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Business Conduct and Ethics</w:t>
      </w:r>
    </w:p>
    <w:p>
      <w:pPr>
        <w:spacing w:after="0" w:line="131" w:lineRule="exact"/>
        <w:rPr>
          <w:sz w:val="20"/>
          <w:szCs w:val="20"/>
          <w:color w:val="auto"/>
        </w:rPr>
      </w:pPr>
    </w:p>
    <w:p>
      <w:pPr>
        <w:ind w:right="180"/>
        <w:spacing w:after="0" w:line="330" w:lineRule="auto"/>
        <w:rPr>
          <w:sz w:val="20"/>
          <w:szCs w:val="20"/>
          <w:color w:val="auto"/>
        </w:rPr>
      </w:pPr>
      <w:r>
        <w:rPr>
          <w:rFonts w:ascii="Arial" w:cs="Arial" w:eastAsia="Arial" w:hAnsi="Arial"/>
          <w:sz w:val="15"/>
          <w:szCs w:val="15"/>
          <w:b w:val="1"/>
          <w:bCs w:val="1"/>
          <w:color w:val="auto"/>
        </w:rPr>
        <w:t>We have adopted a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website at www.boltbio.com. In addition, we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our website, and you should not consider it to be a part of this Annual Report on Form 10-K.</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Insider Trading Policy</w:t>
      </w:r>
    </w:p>
    <w:p>
      <w:pPr>
        <w:spacing w:after="0" w:line="131"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b w:val="1"/>
          <w:bCs w:val="1"/>
          <w:color w:val="auto"/>
        </w:rPr>
        <w:t>The information required by Item 408(b) of Regulation S-K is incorporated by reference from the information contained in our 2026 Proxy Statement under the heading “Information Regarding the Board of Directors and Corporate Governance – Insider Trading Policy.”</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131" w:lineRule="exact"/>
        <w:rPr>
          <w:sz w:val="20"/>
          <w:szCs w:val="20"/>
          <w:color w:val="auto"/>
        </w:rPr>
      </w:pPr>
    </w:p>
    <w:p>
      <w:pPr>
        <w:ind w:right="120"/>
        <w:spacing w:after="0" w:line="382" w:lineRule="auto"/>
        <w:rPr>
          <w:sz w:val="20"/>
          <w:szCs w:val="20"/>
          <w:color w:val="auto"/>
        </w:rPr>
      </w:pPr>
      <w:r>
        <w:rPr>
          <w:rFonts w:ascii="Arial" w:cs="Arial" w:eastAsia="Arial" w:hAnsi="Arial"/>
          <w:sz w:val="15"/>
          <w:szCs w:val="15"/>
          <w:b w:val="1"/>
          <w:bCs w:val="1"/>
          <w:color w:val="auto"/>
        </w:rPr>
        <w:t>Information regarding our executive compensation required by this item will be contained in our 2026 Proxy Statement under the captions “Executive Compensation” and “Director Compensation” and is incorporated herein by reference.</w:t>
      </w:r>
    </w:p>
    <w:p>
      <w:pPr>
        <w:spacing w:after="0" w:line="269" w:lineRule="exact"/>
        <w:rPr>
          <w:sz w:val="20"/>
          <w:szCs w:val="20"/>
          <w:color w:val="auto"/>
        </w:rPr>
      </w:pPr>
    </w:p>
    <w:p>
      <w:pPr>
        <w:ind w:right="200"/>
        <w:spacing w:after="0" w:line="354"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 Ownership of Bolt Bio Securities</w:t>
      </w:r>
    </w:p>
    <w:p>
      <w:pPr>
        <w:spacing w:after="0" w:line="22" w:lineRule="exact"/>
        <w:rPr>
          <w:sz w:val="20"/>
          <w:szCs w:val="20"/>
          <w:color w:val="auto"/>
        </w:rPr>
      </w:pPr>
    </w:p>
    <w:p>
      <w:pPr>
        <w:spacing w:after="0" w:line="236" w:lineRule="auto"/>
        <w:rPr>
          <w:sz w:val="20"/>
          <w:szCs w:val="20"/>
          <w:color w:val="auto"/>
        </w:rPr>
      </w:pPr>
      <w:r>
        <w:rPr>
          <w:rFonts w:ascii="Arial" w:cs="Arial" w:eastAsia="Arial" w:hAnsi="Arial"/>
          <w:sz w:val="20"/>
          <w:szCs w:val="20"/>
          <w:b w:val="1"/>
          <w:bCs w:val="1"/>
          <w:color w:val="auto"/>
        </w:rPr>
        <w:t>Information regarding ownership of Bolt Bio securities required by this item will be contained in our 2026 Proxy Statement under the caption under the caption “Security Ownership of Certain Beneficial Owners and Management” and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 Information</w:t>
      </w:r>
    </w:p>
    <w:p>
      <w:pPr>
        <w:spacing w:after="0" w:line="131"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b w:val="1"/>
          <w:bCs w:val="1"/>
          <w:color w:val="auto"/>
        </w:rPr>
        <w:t>Information regarding our equity compensation plans required by this item will be contained in our 2026 Proxy Statement under the caption "Securities Authorized for Issuance Under Equity Compensation Plans," and is incorporated herein by reference.</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ectPr>
          <w:pgSz w:w="12240" w:h="15840" w:orient="portrait"/>
          <w:cols w:equalWidth="0" w:num="1">
            <w:col w:w="9680"/>
          </w:cols>
          <w:pgMar w:left="1260" w:top="1079" w:right="1300" w:bottom="181"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112</w:t>
      </w:r>
    </w:p>
    <w:p>
      <w:pPr>
        <w:sectPr>
          <w:pgSz w:w="12240" w:h="15840" w:orient="portrait"/>
          <w:cols w:equalWidth="0" w:num="1">
            <w:col w:w="9680"/>
          </w:cols>
          <w:pgMar w:left="1260" w:top="1079" w:right="1300" w:bottom="181" w:gutter="0" w:footer="0" w:header="0"/>
          <w:type w:val="continuous"/>
        </w:sectPr>
      </w:pPr>
    </w:p>
    <w:bookmarkStart w:id="152" w:name="page153"/>
    <w:bookmarkEnd w:id="152"/>
    <w:p>
      <w:pPr>
        <w:spacing w:after="0" w:line="236" w:lineRule="auto"/>
        <w:rPr>
          <w:sz w:val="20"/>
          <w:szCs w:val="20"/>
          <w:color w:val="auto"/>
        </w:rPr>
      </w:pPr>
      <w:r>
        <w:rPr>
          <w:rFonts w:ascii="Arial" w:cs="Arial" w:eastAsia="Arial" w:hAnsi="Arial"/>
          <w:sz w:val="20"/>
          <w:szCs w:val="20"/>
          <w:b w:val="1"/>
          <w:bCs w:val="1"/>
          <w:color w:val="auto"/>
        </w:rPr>
        <w:t>Information regarding related transactions and director independence required by this item will be contained in our 2026 Proxy Statement under the captions “Information Regarding the Board of Directors and Corporate Governance – Independence of the Board of Directors” and “Certain Relationships and Related Party Transactions,” and is incorporated herein by reference.</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131"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b w:val="1"/>
          <w:bCs w:val="1"/>
          <w:color w:val="auto"/>
        </w:rPr>
        <w:t>Information regarding accounting fees and services required by this item will be contained in our 2026 Proxy Statement under the caption “Proposal 2: Ratification of Selection of Independent Registered Public Accounting Firm,” and is incorporated herein by reference.</w:t>
      </w:r>
    </w:p>
    <w:p>
      <w:pPr>
        <w:sectPr>
          <w:pgSz w:w="12240" w:h="15840" w:orient="portrait"/>
          <w:cols w:equalWidth="0" w:num="1">
            <w:col w:w="9640"/>
          </w:cols>
          <w:pgMar w:left="1260" w:top="1089" w:right="13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113</w:t>
      </w:r>
    </w:p>
    <w:p>
      <w:pPr>
        <w:sectPr>
          <w:pgSz w:w="12240" w:h="15840" w:orient="portrait"/>
          <w:cols w:equalWidth="0" w:num="1">
            <w:col w:w="9640"/>
          </w:cols>
          <w:pgMar w:left="1260" w:top="1089" w:right="1340" w:bottom="181" w:gutter="0" w:footer="0" w:header="0"/>
          <w:type w:val="continuous"/>
        </w:sectPr>
      </w:pPr>
    </w:p>
    <w:bookmarkStart w:id="153" w:name="page154"/>
    <w:bookmarkEnd w:id="153"/>
    <w:p>
      <w:pPr>
        <w:jc w:val="center"/>
        <w:ind w:right="-19"/>
        <w:spacing w:after="0"/>
        <w:rPr>
          <w:sz w:val="20"/>
          <w:szCs w:val="20"/>
          <w:color w:val="auto"/>
        </w:rPr>
      </w:pPr>
      <w:r>
        <w:rPr>
          <w:rFonts w:ascii="Arial" w:cs="Arial" w:eastAsia="Arial" w:hAnsi="Arial"/>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Consolidated Financial Statement Schedules.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(a)(1) The consolidated financial statements required to be filed by Items 8 and 15(c) of this Annual Report on Form 10-</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 and filed herewith, are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00" w:type="dxa"/>
            <w:vAlign w:val="bottom"/>
          </w:tcPr>
          <w:p>
            <w:pPr>
              <w:spacing w:after="0"/>
              <w:rPr>
                <w:sz w:val="16"/>
                <w:szCs w:val="16"/>
                <w:color w:val="auto"/>
              </w:rPr>
            </w:pPr>
          </w:p>
        </w:tc>
        <w:tc>
          <w:tcPr>
            <w:tcW w:w="520" w:type="dxa"/>
            <w:vAlign w:val="bottom"/>
          </w:tcPr>
          <w:p>
            <w:pPr>
              <w:jc w:val="right"/>
              <w:ind w:right="3"/>
              <w:spacing w:after="0"/>
              <w:rPr>
                <w:sz w:val="20"/>
                <w:szCs w:val="20"/>
                <w:color w:val="auto"/>
              </w:rPr>
            </w:pPr>
            <w:r>
              <w:rPr>
                <w:rFonts w:ascii="Arial" w:cs="Arial" w:eastAsia="Arial" w:hAnsi="Arial"/>
                <w:sz w:val="16"/>
                <w:szCs w:val="16"/>
                <w:b w:val="1"/>
                <w:bCs w:val="1"/>
                <w:color w:val="auto"/>
              </w:rPr>
              <w:t>Page</w:t>
            </w:r>
          </w:p>
        </w:tc>
      </w:tr>
      <w:tr>
        <w:trPr>
          <w:trHeight w:val="28"/>
        </w:trPr>
        <w:tc>
          <w:tcPr>
            <w:tcW w:w="9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74"/>
        </w:trPr>
        <w:tc>
          <w:tcPr>
            <w:tcW w:w="9100" w:type="dxa"/>
            <w:vAlign w:val="bottom"/>
          </w:tcPr>
          <w:p>
            <w:pPr>
              <w:spacing w:after="0"/>
              <w:rPr>
                <w:sz w:val="20"/>
                <w:szCs w:val="20"/>
                <w:color w:val="auto"/>
              </w:rPr>
            </w:pPr>
            <w:r>
              <w:rPr>
                <w:rFonts w:ascii="Arial" w:cs="Arial" w:eastAsia="Arial" w:hAnsi="Arial"/>
                <w:sz w:val="20"/>
                <w:szCs w:val="20"/>
                <w:b w:val="1"/>
                <w:bCs w:val="1"/>
                <w:color w:val="auto"/>
              </w:rPr>
              <w:t>Report of Independent Registered Public Accounting Firm (PCAOB ID 238)</w:t>
            </w: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76"/>
        </w:trPr>
        <w:tc>
          <w:tcPr>
            <w:tcW w:w="9100" w:type="dxa"/>
            <w:vAlign w:val="bottom"/>
          </w:tcPr>
          <w:p>
            <w:pPr>
              <w:spacing w:after="0"/>
              <w:rPr>
                <w:sz w:val="20"/>
                <w:szCs w:val="20"/>
                <w:color w:val="auto"/>
              </w:rPr>
            </w:pPr>
            <w:r>
              <w:rPr>
                <w:rFonts w:ascii="Arial" w:cs="Arial" w:eastAsia="Arial" w:hAnsi="Arial"/>
                <w:sz w:val="20"/>
                <w:szCs w:val="20"/>
                <w:b w:val="1"/>
                <w:bCs w:val="1"/>
                <w:color w:val="auto"/>
              </w:rPr>
              <w:t>Balance Sheets</w:t>
            </w: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rPr>
              <w:t>81</w:t>
            </w:r>
          </w:p>
        </w:tc>
      </w:tr>
      <w:tr>
        <w:trPr>
          <w:trHeight w:val="276"/>
        </w:trPr>
        <w:tc>
          <w:tcPr>
            <w:tcW w:w="9100" w:type="dxa"/>
            <w:vAlign w:val="bottom"/>
          </w:tcPr>
          <w:p>
            <w:pPr>
              <w:spacing w:after="0"/>
              <w:rPr>
                <w:sz w:val="20"/>
                <w:szCs w:val="20"/>
                <w:color w:val="auto"/>
              </w:rPr>
            </w:pPr>
            <w:r>
              <w:rPr>
                <w:rFonts w:ascii="Arial" w:cs="Arial" w:eastAsia="Arial" w:hAnsi="Arial"/>
                <w:sz w:val="20"/>
                <w:szCs w:val="20"/>
                <w:b w:val="1"/>
                <w:bCs w:val="1"/>
                <w:color w:val="auto"/>
              </w:rPr>
              <w:t>Statements of Operations</w:t>
            </w: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rPr>
              <w:t>82</w:t>
            </w:r>
          </w:p>
        </w:tc>
      </w:tr>
      <w:tr>
        <w:trPr>
          <w:trHeight w:val="276"/>
        </w:trPr>
        <w:tc>
          <w:tcPr>
            <w:tcW w:w="9100" w:type="dxa"/>
            <w:vAlign w:val="bottom"/>
          </w:tcPr>
          <w:p>
            <w:pPr>
              <w:spacing w:after="0"/>
              <w:rPr>
                <w:sz w:val="20"/>
                <w:szCs w:val="20"/>
                <w:color w:val="auto"/>
              </w:rPr>
            </w:pPr>
            <w:r>
              <w:rPr>
                <w:rFonts w:ascii="Arial" w:cs="Arial" w:eastAsia="Arial" w:hAnsi="Arial"/>
                <w:sz w:val="20"/>
                <w:szCs w:val="20"/>
                <w:b w:val="1"/>
                <w:bCs w:val="1"/>
                <w:color w:val="auto"/>
              </w:rPr>
              <w:t>Statements of Convertible Preferred Stock and Stockholders' Deficit</w:t>
            </w: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rPr>
              <w:t>83</w:t>
            </w:r>
          </w:p>
        </w:tc>
      </w:tr>
      <w:tr>
        <w:trPr>
          <w:trHeight w:val="276"/>
        </w:trPr>
        <w:tc>
          <w:tcPr>
            <w:tcW w:w="9100" w:type="dxa"/>
            <w:vAlign w:val="bottom"/>
          </w:tcPr>
          <w:p>
            <w:pPr>
              <w:spacing w:after="0"/>
              <w:rPr>
                <w:sz w:val="20"/>
                <w:szCs w:val="20"/>
                <w:color w:val="auto"/>
              </w:rPr>
            </w:pPr>
            <w:r>
              <w:rPr>
                <w:rFonts w:ascii="Arial" w:cs="Arial" w:eastAsia="Arial" w:hAnsi="Arial"/>
                <w:sz w:val="20"/>
                <w:szCs w:val="20"/>
                <w:b w:val="1"/>
                <w:bCs w:val="1"/>
                <w:color w:val="auto"/>
              </w:rPr>
              <w:t>Statements of Cash Flows</w:t>
            </w: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rPr>
              <w:t>84</w:t>
            </w:r>
          </w:p>
        </w:tc>
      </w:tr>
      <w:tr>
        <w:trPr>
          <w:trHeight w:val="276"/>
        </w:trPr>
        <w:tc>
          <w:tcPr>
            <w:tcW w:w="9100" w:type="dxa"/>
            <w:vAlign w:val="bottom"/>
          </w:tcPr>
          <w:p>
            <w:pPr>
              <w:spacing w:after="0"/>
              <w:rPr>
                <w:sz w:val="20"/>
                <w:szCs w:val="20"/>
                <w:color w:val="auto"/>
              </w:rPr>
            </w:pPr>
            <w:r>
              <w:rPr>
                <w:rFonts w:ascii="Arial" w:cs="Arial" w:eastAsia="Arial" w:hAnsi="Arial"/>
                <w:sz w:val="20"/>
                <w:szCs w:val="20"/>
                <w:b w:val="1"/>
                <w:bCs w:val="1"/>
                <w:color w:val="auto"/>
              </w:rPr>
              <w:t>Notes to the Consolidated Financial Statements</w:t>
            </w: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rPr>
              <w:t>85</w:t>
            </w:r>
          </w:p>
        </w:tc>
      </w:tr>
    </w:tbl>
    <w:p>
      <w:pPr>
        <w:spacing w:after="0" w:line="251"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b w:val="1"/>
          <w:bCs w:val="1"/>
          <w:color w:val="auto"/>
        </w:rPr>
        <w:t>(a)(2) Consolidated financial statement schedules required to be filed by Item 8 of this form, and by paragraph (b) below have been omitted as they are not applicable.</w:t>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(a)(3) Exhibits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is a list of Exhibits filed, furnished or incorporated by reference as part of the Annual Report on Form 10-</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jc w:val="right"/>
              <w:ind w:right="103"/>
              <w:spacing w:after="0"/>
              <w:rPr>
                <w:sz w:val="20"/>
                <w:szCs w:val="20"/>
                <w:color w:val="auto"/>
              </w:rPr>
            </w:pPr>
            <w:r>
              <w:rPr>
                <w:rFonts w:ascii="Arial" w:cs="Arial" w:eastAsia="Arial" w:hAnsi="Arial"/>
                <w:sz w:val="16"/>
                <w:szCs w:val="16"/>
                <w:b w:val="1"/>
                <w:bCs w:val="1"/>
                <w:color w:val="auto"/>
              </w:rPr>
              <w:t>Exhibit</w:t>
            </w:r>
          </w:p>
        </w:tc>
        <w:tc>
          <w:tcPr>
            <w:tcW w:w="4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40" w:type="dxa"/>
            <w:vAlign w:val="bottom"/>
          </w:tcPr>
          <w:p>
            <w:pPr>
              <w:jc w:val="right"/>
              <w:ind w:right="63"/>
              <w:spacing w:after="0"/>
              <w:rPr>
                <w:sz w:val="20"/>
                <w:szCs w:val="20"/>
                <w:color w:val="auto"/>
              </w:rPr>
            </w:pPr>
            <w:r>
              <w:rPr>
                <w:rFonts w:ascii="Arial" w:cs="Arial" w:eastAsia="Arial" w:hAnsi="Arial"/>
                <w:sz w:val="16"/>
                <w:szCs w:val="16"/>
                <w:b w:val="1"/>
                <w:bCs w:val="1"/>
                <w:color w:val="auto"/>
              </w:rPr>
              <w:t>Filed</w:t>
            </w:r>
          </w:p>
        </w:tc>
      </w:tr>
      <w:tr>
        <w:trPr>
          <w:trHeight w:val="185"/>
        </w:trPr>
        <w:tc>
          <w:tcPr>
            <w:tcW w:w="1000" w:type="dxa"/>
            <w:vAlign w:val="bottom"/>
          </w:tcPr>
          <w:p>
            <w:pPr>
              <w:jc w:val="right"/>
              <w:ind w:right="83"/>
              <w:spacing w:after="0"/>
              <w:rPr>
                <w:sz w:val="20"/>
                <w:szCs w:val="20"/>
                <w:color w:val="auto"/>
              </w:rPr>
            </w:pPr>
            <w:r>
              <w:rPr>
                <w:rFonts w:ascii="Arial" w:cs="Arial" w:eastAsia="Arial" w:hAnsi="Arial"/>
                <w:sz w:val="16"/>
                <w:szCs w:val="16"/>
                <w:b w:val="1"/>
                <w:bCs w:val="1"/>
                <w:color w:val="auto"/>
              </w:rPr>
              <w:t>Number</w:t>
            </w:r>
          </w:p>
        </w:tc>
        <w:tc>
          <w:tcPr>
            <w:tcW w:w="4640" w:type="dxa"/>
            <w:vAlign w:val="bottom"/>
          </w:tcPr>
          <w:p>
            <w:pPr>
              <w:ind w:left="1660"/>
              <w:spacing w:after="0"/>
              <w:rPr>
                <w:sz w:val="20"/>
                <w:szCs w:val="20"/>
                <w:color w:val="auto"/>
              </w:rPr>
            </w:pPr>
            <w:r>
              <w:rPr>
                <w:rFonts w:ascii="Arial" w:cs="Arial" w:eastAsia="Arial" w:hAnsi="Arial"/>
                <w:sz w:val="16"/>
                <w:szCs w:val="16"/>
                <w:b w:val="1"/>
                <w:bCs w:val="1"/>
                <w:color w:val="auto"/>
              </w:rPr>
              <w:t>Description of Exhibit</w:t>
            </w:r>
          </w:p>
        </w:tc>
        <w:tc>
          <w:tcPr>
            <w:tcW w:w="680" w:type="dxa"/>
            <w:vAlign w:val="bottom"/>
          </w:tcPr>
          <w:p>
            <w:pPr>
              <w:jc w:val="right"/>
              <w:ind w:right="22"/>
              <w:spacing w:after="0"/>
              <w:rPr>
                <w:sz w:val="20"/>
                <w:szCs w:val="20"/>
                <w:color w:val="auto"/>
              </w:rPr>
            </w:pPr>
            <w:r>
              <w:rPr>
                <w:rFonts w:ascii="Arial" w:cs="Arial" w:eastAsia="Arial" w:hAnsi="Arial"/>
                <w:sz w:val="16"/>
                <w:szCs w:val="16"/>
                <w:b w:val="1"/>
                <w:bCs w:val="1"/>
                <w:color w:val="auto"/>
              </w:rPr>
              <w:t>Form</w:t>
            </w:r>
          </w:p>
        </w:tc>
        <w:tc>
          <w:tcPr>
            <w:tcW w:w="1100" w:type="dxa"/>
            <w:vAlign w:val="bottom"/>
          </w:tcPr>
          <w:p>
            <w:pPr>
              <w:jc w:val="right"/>
              <w:ind w:right="202"/>
              <w:spacing w:after="0"/>
              <w:rPr>
                <w:sz w:val="20"/>
                <w:szCs w:val="20"/>
                <w:color w:val="auto"/>
              </w:rPr>
            </w:pPr>
            <w:r>
              <w:rPr>
                <w:rFonts w:ascii="Arial" w:cs="Arial" w:eastAsia="Arial" w:hAnsi="Arial"/>
                <w:sz w:val="16"/>
                <w:szCs w:val="16"/>
                <w:b w:val="1"/>
                <w:bCs w:val="1"/>
                <w:color w:val="auto"/>
              </w:rPr>
              <w:t>File No.</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Exhibit</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Filing Date  Herewith</w:t>
            </w:r>
          </w:p>
        </w:tc>
      </w:tr>
      <w:tr>
        <w:trPr>
          <w:trHeight w:val="368"/>
        </w:trPr>
        <w:tc>
          <w:tcPr>
            <w:tcW w:w="1000" w:type="dxa"/>
            <w:vAlign w:val="bottom"/>
          </w:tcPr>
          <w:p>
            <w:pPr>
              <w:jc w:val="right"/>
              <w:ind w:right="543"/>
              <w:spacing w:after="0"/>
              <w:rPr>
                <w:sz w:val="20"/>
                <w:szCs w:val="20"/>
                <w:color w:val="auto"/>
              </w:rPr>
            </w:pPr>
            <w:r>
              <w:rPr>
                <w:rFonts w:ascii="Arial" w:cs="Arial" w:eastAsia="Arial" w:hAnsi="Arial"/>
                <w:sz w:val="20"/>
                <w:szCs w:val="20"/>
                <w:b w:val="1"/>
                <w:bCs w:val="1"/>
                <w:color w:val="auto"/>
              </w:rPr>
              <w:t>3.1</w:t>
            </w: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w w:val="87"/>
              </w:rPr>
              <w:t>Amended and Restated Certificate of Incorporation of</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rPr>
              <w:t>the Registrant, as currently in effect.</w:t>
            </w: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8-K</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001-39988</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3.1</w:t>
            </w:r>
          </w:p>
        </w:tc>
        <w:tc>
          <w:tcPr>
            <w:tcW w:w="1640" w:type="dxa"/>
            <w:vAlign w:val="bottom"/>
          </w:tcPr>
          <w:p>
            <w:pPr>
              <w:jc w:val="right"/>
              <w:ind w:right="683"/>
              <w:spacing w:after="0"/>
              <w:rPr>
                <w:sz w:val="20"/>
                <w:szCs w:val="20"/>
                <w:color w:val="auto"/>
              </w:rPr>
            </w:pPr>
            <w:r>
              <w:rPr>
                <w:rFonts w:ascii="Arial" w:cs="Arial" w:eastAsia="Arial" w:hAnsi="Arial"/>
                <w:sz w:val="20"/>
                <w:szCs w:val="20"/>
                <w:b w:val="1"/>
                <w:bCs w:val="1"/>
                <w:color w:val="auto"/>
              </w:rPr>
              <w:t>2/9/2021</w:t>
            </w:r>
          </w:p>
        </w:tc>
      </w:tr>
      <w:tr>
        <w:trPr>
          <w:trHeight w:val="367"/>
        </w:trPr>
        <w:tc>
          <w:tcPr>
            <w:tcW w:w="1000" w:type="dxa"/>
            <w:vAlign w:val="bottom"/>
          </w:tcPr>
          <w:p>
            <w:pPr>
              <w:jc w:val="right"/>
              <w:ind w:right="543"/>
              <w:spacing w:after="0"/>
              <w:rPr>
                <w:sz w:val="20"/>
                <w:szCs w:val="20"/>
                <w:color w:val="auto"/>
              </w:rPr>
            </w:pPr>
            <w:r>
              <w:rPr>
                <w:rFonts w:ascii="Arial" w:cs="Arial" w:eastAsia="Arial" w:hAnsi="Arial"/>
                <w:sz w:val="20"/>
                <w:szCs w:val="20"/>
                <w:b w:val="1"/>
                <w:bCs w:val="1"/>
                <w:color w:val="auto"/>
              </w:rPr>
              <w:t>3.2</w:t>
            </w: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rPr>
              <w:t>Certificate of Amendment of the Amended and</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rPr>
              <w:t>Restated Certificate of Incorporation.</w:t>
            </w: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8-K</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001-39988</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3.1</w:t>
            </w:r>
          </w:p>
        </w:tc>
        <w:tc>
          <w:tcPr>
            <w:tcW w:w="1640" w:type="dxa"/>
            <w:vAlign w:val="bottom"/>
          </w:tcPr>
          <w:p>
            <w:pPr>
              <w:jc w:val="right"/>
              <w:ind w:right="683"/>
              <w:spacing w:after="0"/>
              <w:rPr>
                <w:sz w:val="20"/>
                <w:szCs w:val="20"/>
                <w:color w:val="auto"/>
              </w:rPr>
            </w:pPr>
            <w:r>
              <w:rPr>
                <w:rFonts w:ascii="Arial" w:cs="Arial" w:eastAsia="Arial" w:hAnsi="Arial"/>
                <w:sz w:val="20"/>
                <w:szCs w:val="20"/>
                <w:b w:val="1"/>
                <w:bCs w:val="1"/>
                <w:color w:val="auto"/>
              </w:rPr>
              <w:t>6/6/2025</w:t>
            </w:r>
          </w:p>
        </w:tc>
      </w:tr>
      <w:tr>
        <w:trPr>
          <w:trHeight w:val="367"/>
        </w:trPr>
        <w:tc>
          <w:tcPr>
            <w:tcW w:w="1000" w:type="dxa"/>
            <w:vAlign w:val="bottom"/>
          </w:tcPr>
          <w:p>
            <w:pPr>
              <w:jc w:val="right"/>
              <w:ind w:right="543"/>
              <w:spacing w:after="0"/>
              <w:rPr>
                <w:sz w:val="20"/>
                <w:szCs w:val="20"/>
                <w:color w:val="auto"/>
              </w:rPr>
            </w:pPr>
            <w:r>
              <w:rPr>
                <w:rFonts w:ascii="Arial" w:cs="Arial" w:eastAsia="Arial" w:hAnsi="Arial"/>
                <w:sz w:val="20"/>
                <w:szCs w:val="20"/>
                <w:b w:val="1"/>
                <w:bCs w:val="1"/>
                <w:color w:val="auto"/>
              </w:rPr>
              <w:t>3.2</w:t>
            </w: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w w:val="90"/>
              </w:rPr>
              <w:t>Amended and Restated Bylaws of the Registrant, as</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rPr>
              <w:t>currently in effect.</w:t>
            </w: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8-K</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001-39988</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3.1</w:t>
            </w:r>
          </w:p>
        </w:tc>
        <w:tc>
          <w:tcPr>
            <w:tcW w:w="1640" w:type="dxa"/>
            <w:vAlign w:val="bottom"/>
          </w:tcPr>
          <w:p>
            <w:pPr>
              <w:jc w:val="right"/>
              <w:ind w:right="683"/>
              <w:spacing w:after="0"/>
              <w:rPr>
                <w:sz w:val="20"/>
                <w:szCs w:val="20"/>
                <w:color w:val="auto"/>
              </w:rPr>
            </w:pPr>
            <w:r>
              <w:rPr>
                <w:rFonts w:ascii="Arial" w:cs="Arial" w:eastAsia="Arial" w:hAnsi="Arial"/>
                <w:sz w:val="20"/>
                <w:szCs w:val="20"/>
                <w:b w:val="1"/>
                <w:bCs w:val="1"/>
                <w:color w:val="auto"/>
                <w:w w:val="94"/>
              </w:rPr>
              <w:t>4/16/2025</w:t>
            </w:r>
          </w:p>
        </w:tc>
      </w:tr>
      <w:tr>
        <w:trPr>
          <w:trHeight w:val="367"/>
        </w:trPr>
        <w:tc>
          <w:tcPr>
            <w:tcW w:w="1000" w:type="dxa"/>
            <w:vAlign w:val="bottom"/>
          </w:tcPr>
          <w:p>
            <w:pPr>
              <w:jc w:val="right"/>
              <w:ind w:right="543"/>
              <w:spacing w:after="0"/>
              <w:rPr>
                <w:sz w:val="20"/>
                <w:szCs w:val="20"/>
                <w:color w:val="auto"/>
              </w:rPr>
            </w:pPr>
            <w:r>
              <w:rPr>
                <w:rFonts w:ascii="Arial" w:cs="Arial" w:eastAsia="Arial" w:hAnsi="Arial"/>
                <w:sz w:val="20"/>
                <w:szCs w:val="20"/>
                <w:b w:val="1"/>
                <w:bCs w:val="1"/>
                <w:color w:val="auto"/>
              </w:rPr>
              <w:t>4.1</w:t>
            </w: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rPr>
              <w:t>Reference is made to Exhibits 3.1 and 3.2.</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0"/>
        </w:trPr>
        <w:tc>
          <w:tcPr>
            <w:tcW w:w="1000" w:type="dxa"/>
            <w:vAlign w:val="bottom"/>
          </w:tcPr>
          <w:p>
            <w:pPr>
              <w:jc w:val="right"/>
              <w:ind w:right="543"/>
              <w:spacing w:after="0"/>
              <w:rPr>
                <w:sz w:val="20"/>
                <w:szCs w:val="20"/>
                <w:color w:val="auto"/>
              </w:rPr>
            </w:pPr>
            <w:r>
              <w:rPr>
                <w:rFonts w:ascii="Arial" w:cs="Arial" w:eastAsia="Arial" w:hAnsi="Arial"/>
                <w:sz w:val="20"/>
                <w:szCs w:val="20"/>
                <w:b w:val="1"/>
                <w:bCs w:val="1"/>
                <w:color w:val="auto"/>
              </w:rPr>
              <w:t>4.2</w:t>
            </w: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w w:val="90"/>
              </w:rPr>
              <w:t>Form of common stock certificate of the Registrant.</w:t>
            </w:r>
          </w:p>
        </w:tc>
        <w:tc>
          <w:tcPr>
            <w:tcW w:w="1780" w:type="dxa"/>
            <w:vAlign w:val="bottom"/>
            <w:gridSpan w:val="2"/>
          </w:tcPr>
          <w:p>
            <w:pPr>
              <w:jc w:val="right"/>
              <w:spacing w:after="0"/>
              <w:rPr>
                <w:sz w:val="20"/>
                <w:szCs w:val="20"/>
                <w:color w:val="auto"/>
              </w:rPr>
            </w:pPr>
            <w:r>
              <w:rPr>
                <w:rFonts w:ascii="Arial" w:cs="Arial" w:eastAsia="Arial" w:hAnsi="Arial"/>
                <w:sz w:val="20"/>
                <w:szCs w:val="20"/>
                <w:b w:val="1"/>
                <w:bCs w:val="1"/>
                <w:color w:val="auto"/>
              </w:rPr>
              <w:t>S-1  333-252136</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4.1</w:t>
            </w:r>
          </w:p>
        </w:tc>
        <w:tc>
          <w:tcPr>
            <w:tcW w:w="1640" w:type="dxa"/>
            <w:vAlign w:val="bottom"/>
          </w:tcPr>
          <w:p>
            <w:pPr>
              <w:jc w:val="right"/>
              <w:ind w:right="683"/>
              <w:spacing w:after="0"/>
              <w:rPr>
                <w:sz w:val="20"/>
                <w:szCs w:val="20"/>
                <w:color w:val="auto"/>
              </w:rPr>
            </w:pPr>
            <w:r>
              <w:rPr>
                <w:rFonts w:ascii="Arial" w:cs="Arial" w:eastAsia="Arial" w:hAnsi="Arial"/>
                <w:sz w:val="20"/>
                <w:szCs w:val="20"/>
                <w:b w:val="1"/>
                <w:bCs w:val="1"/>
                <w:color w:val="auto"/>
                <w:w w:val="94"/>
              </w:rPr>
              <w:t>1/15/2021</w:t>
            </w:r>
          </w:p>
        </w:tc>
      </w:tr>
      <w:tr>
        <w:trPr>
          <w:trHeight w:val="367"/>
        </w:trPr>
        <w:tc>
          <w:tcPr>
            <w:tcW w:w="1000" w:type="dxa"/>
            <w:vAlign w:val="bottom"/>
          </w:tcPr>
          <w:p>
            <w:pPr>
              <w:jc w:val="right"/>
              <w:ind w:right="543"/>
              <w:spacing w:after="0"/>
              <w:rPr>
                <w:sz w:val="20"/>
                <w:szCs w:val="20"/>
                <w:color w:val="auto"/>
              </w:rPr>
            </w:pPr>
            <w:r>
              <w:rPr>
                <w:rFonts w:ascii="Arial" w:cs="Arial" w:eastAsia="Arial" w:hAnsi="Arial"/>
                <w:sz w:val="20"/>
                <w:szCs w:val="20"/>
                <w:b w:val="1"/>
                <w:bCs w:val="1"/>
                <w:color w:val="auto"/>
              </w:rPr>
              <w:t>4.3</w:t>
            </w: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rPr>
              <w:t>Description of Securities.</w:t>
            </w: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10-K</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001-39988</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4.3</w:t>
            </w:r>
          </w:p>
        </w:tc>
        <w:tc>
          <w:tcPr>
            <w:tcW w:w="1640" w:type="dxa"/>
            <w:vAlign w:val="bottom"/>
          </w:tcPr>
          <w:p>
            <w:pPr>
              <w:jc w:val="right"/>
              <w:ind w:right="683"/>
              <w:spacing w:after="0"/>
              <w:rPr>
                <w:sz w:val="20"/>
                <w:szCs w:val="20"/>
                <w:color w:val="auto"/>
              </w:rPr>
            </w:pPr>
            <w:r>
              <w:rPr>
                <w:rFonts w:ascii="Arial" w:cs="Arial" w:eastAsia="Arial" w:hAnsi="Arial"/>
                <w:sz w:val="20"/>
                <w:szCs w:val="20"/>
                <w:b w:val="1"/>
                <w:bCs w:val="1"/>
                <w:color w:val="auto"/>
                <w:w w:val="94"/>
              </w:rPr>
              <w:t>3/31/2021</w:t>
            </w:r>
          </w:p>
        </w:tc>
      </w:tr>
      <w:tr>
        <w:trPr>
          <w:trHeight w:val="367"/>
        </w:trPr>
        <w:tc>
          <w:tcPr>
            <w:tcW w:w="1000" w:type="dxa"/>
            <w:vAlign w:val="bottom"/>
          </w:tcPr>
          <w:p>
            <w:pPr>
              <w:jc w:val="right"/>
              <w:ind w:right="443"/>
              <w:spacing w:after="0"/>
              <w:rPr>
                <w:sz w:val="20"/>
                <w:szCs w:val="20"/>
                <w:color w:val="auto"/>
              </w:rPr>
            </w:pPr>
            <w:r>
              <w:rPr>
                <w:rFonts w:ascii="Arial" w:cs="Arial" w:eastAsia="Arial" w:hAnsi="Arial"/>
                <w:sz w:val="20"/>
                <w:szCs w:val="20"/>
                <w:b w:val="1"/>
                <w:bCs w:val="1"/>
                <w:color w:val="auto"/>
                <w:w w:val="86"/>
              </w:rPr>
              <w:t>10.1+</w:t>
            </w: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rPr>
              <w:t>2015 Equity Incentive Plan, as amended.</w:t>
            </w: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S-1/A</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w w:val="95"/>
              </w:rPr>
              <w:t>333-252136</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10.2</w:t>
            </w:r>
          </w:p>
        </w:tc>
        <w:tc>
          <w:tcPr>
            <w:tcW w:w="1640" w:type="dxa"/>
            <w:vAlign w:val="bottom"/>
          </w:tcPr>
          <w:p>
            <w:pPr>
              <w:jc w:val="right"/>
              <w:ind w:right="683"/>
              <w:spacing w:after="0"/>
              <w:rPr>
                <w:sz w:val="20"/>
                <w:szCs w:val="20"/>
                <w:color w:val="auto"/>
              </w:rPr>
            </w:pPr>
            <w:r>
              <w:rPr>
                <w:rFonts w:ascii="Arial" w:cs="Arial" w:eastAsia="Arial" w:hAnsi="Arial"/>
                <w:sz w:val="20"/>
                <w:szCs w:val="20"/>
                <w:b w:val="1"/>
                <w:bCs w:val="1"/>
                <w:color w:val="auto"/>
              </w:rPr>
              <w:t>2/1/2021</w:t>
            </w:r>
          </w:p>
        </w:tc>
      </w:tr>
      <w:tr>
        <w:trPr>
          <w:trHeight w:val="370"/>
        </w:trPr>
        <w:tc>
          <w:tcPr>
            <w:tcW w:w="1000" w:type="dxa"/>
            <w:vAlign w:val="bottom"/>
          </w:tcPr>
          <w:p>
            <w:pPr>
              <w:jc w:val="right"/>
              <w:ind w:right="443"/>
              <w:spacing w:after="0"/>
              <w:rPr>
                <w:sz w:val="20"/>
                <w:szCs w:val="20"/>
                <w:color w:val="auto"/>
              </w:rPr>
            </w:pPr>
            <w:r>
              <w:rPr>
                <w:rFonts w:ascii="Arial" w:cs="Arial" w:eastAsia="Arial" w:hAnsi="Arial"/>
                <w:sz w:val="20"/>
                <w:szCs w:val="20"/>
                <w:b w:val="1"/>
                <w:bCs w:val="1"/>
                <w:color w:val="auto"/>
                <w:w w:val="86"/>
              </w:rPr>
              <w:t>10.2+</w:t>
            </w: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w w:val="96"/>
              </w:rPr>
              <w:t>Forms of Option Agreement, Stock Option Grant</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28"/>
        </w:trPr>
        <w:tc>
          <w:tcPr>
            <w:tcW w:w="1000" w:type="dxa"/>
            <w:vAlign w:val="bottom"/>
          </w:tcPr>
          <w:p>
            <w:pPr>
              <w:spacing w:after="0"/>
              <w:rPr>
                <w:sz w:val="19"/>
                <w:szCs w:val="19"/>
                <w:color w:val="auto"/>
              </w:rPr>
            </w:pPr>
          </w:p>
        </w:tc>
        <w:tc>
          <w:tcPr>
            <w:tcW w:w="4640" w:type="dxa"/>
            <w:vAlign w:val="bottom"/>
          </w:tcPr>
          <w:p>
            <w:pPr>
              <w:ind w:left="160"/>
              <w:spacing w:after="0" w:line="228" w:lineRule="exact"/>
              <w:rPr>
                <w:sz w:val="20"/>
                <w:szCs w:val="20"/>
                <w:color w:val="auto"/>
              </w:rPr>
            </w:pPr>
            <w:r>
              <w:rPr>
                <w:rFonts w:ascii="Arial" w:cs="Arial" w:eastAsia="Arial" w:hAnsi="Arial"/>
                <w:sz w:val="20"/>
                <w:szCs w:val="20"/>
                <w:b w:val="1"/>
                <w:bCs w:val="1"/>
                <w:color w:val="auto"/>
                <w:w w:val="90"/>
              </w:rPr>
              <w:t>Notice and Notice of Exercise under the 2015 Equity</w:t>
            </w: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rPr>
              <w:t>Incentive Plan.</w:t>
            </w:r>
          </w:p>
        </w:tc>
        <w:tc>
          <w:tcPr>
            <w:tcW w:w="1780" w:type="dxa"/>
            <w:vAlign w:val="bottom"/>
            <w:gridSpan w:val="2"/>
          </w:tcPr>
          <w:p>
            <w:pPr>
              <w:jc w:val="right"/>
              <w:spacing w:after="0"/>
              <w:rPr>
                <w:sz w:val="20"/>
                <w:szCs w:val="20"/>
                <w:color w:val="auto"/>
              </w:rPr>
            </w:pPr>
            <w:r>
              <w:rPr>
                <w:rFonts w:ascii="Arial" w:cs="Arial" w:eastAsia="Arial" w:hAnsi="Arial"/>
                <w:sz w:val="20"/>
                <w:szCs w:val="20"/>
                <w:b w:val="1"/>
                <w:bCs w:val="1"/>
                <w:color w:val="auto"/>
              </w:rPr>
              <w:t>S-1  333-252136</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10.3</w:t>
            </w:r>
          </w:p>
        </w:tc>
        <w:tc>
          <w:tcPr>
            <w:tcW w:w="1640" w:type="dxa"/>
            <w:vAlign w:val="bottom"/>
          </w:tcPr>
          <w:p>
            <w:pPr>
              <w:jc w:val="right"/>
              <w:ind w:right="683"/>
              <w:spacing w:after="0"/>
              <w:rPr>
                <w:sz w:val="20"/>
                <w:szCs w:val="20"/>
                <w:color w:val="auto"/>
              </w:rPr>
            </w:pPr>
            <w:r>
              <w:rPr>
                <w:rFonts w:ascii="Arial" w:cs="Arial" w:eastAsia="Arial" w:hAnsi="Arial"/>
                <w:sz w:val="20"/>
                <w:szCs w:val="20"/>
                <w:b w:val="1"/>
                <w:bCs w:val="1"/>
                <w:color w:val="auto"/>
                <w:w w:val="94"/>
              </w:rPr>
              <w:t>1/15/2021</w:t>
            </w:r>
          </w:p>
        </w:tc>
      </w:tr>
      <w:tr>
        <w:trPr>
          <w:trHeight w:val="370"/>
        </w:trPr>
        <w:tc>
          <w:tcPr>
            <w:tcW w:w="1000" w:type="dxa"/>
            <w:vAlign w:val="bottom"/>
          </w:tcPr>
          <w:p>
            <w:pPr>
              <w:jc w:val="right"/>
              <w:ind w:right="443"/>
              <w:spacing w:after="0"/>
              <w:rPr>
                <w:sz w:val="20"/>
                <w:szCs w:val="20"/>
                <w:color w:val="auto"/>
              </w:rPr>
            </w:pPr>
            <w:r>
              <w:rPr>
                <w:rFonts w:ascii="Arial" w:cs="Arial" w:eastAsia="Arial" w:hAnsi="Arial"/>
                <w:sz w:val="20"/>
                <w:szCs w:val="20"/>
                <w:b w:val="1"/>
                <w:bCs w:val="1"/>
                <w:color w:val="auto"/>
                <w:w w:val="86"/>
              </w:rPr>
              <w:t>10.3+</w:t>
            </w: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rPr>
              <w:t>2021 Equity Incentive Plan.</w:t>
            </w: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S-1/A</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w w:val="95"/>
              </w:rPr>
              <w:t>333-252136</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10.4</w:t>
            </w:r>
          </w:p>
        </w:tc>
        <w:tc>
          <w:tcPr>
            <w:tcW w:w="1640" w:type="dxa"/>
            <w:vAlign w:val="bottom"/>
          </w:tcPr>
          <w:p>
            <w:pPr>
              <w:jc w:val="right"/>
              <w:ind w:right="683"/>
              <w:spacing w:after="0"/>
              <w:rPr>
                <w:sz w:val="20"/>
                <w:szCs w:val="20"/>
                <w:color w:val="auto"/>
              </w:rPr>
            </w:pPr>
            <w:r>
              <w:rPr>
                <w:rFonts w:ascii="Arial" w:cs="Arial" w:eastAsia="Arial" w:hAnsi="Arial"/>
                <w:sz w:val="20"/>
                <w:szCs w:val="20"/>
                <w:b w:val="1"/>
                <w:bCs w:val="1"/>
                <w:color w:val="auto"/>
              </w:rPr>
              <w:t>2/1/2021</w:t>
            </w:r>
          </w:p>
        </w:tc>
      </w:tr>
      <w:tr>
        <w:trPr>
          <w:trHeight w:val="367"/>
        </w:trPr>
        <w:tc>
          <w:tcPr>
            <w:tcW w:w="1000" w:type="dxa"/>
            <w:vAlign w:val="bottom"/>
          </w:tcPr>
          <w:p>
            <w:pPr>
              <w:jc w:val="right"/>
              <w:ind w:right="443"/>
              <w:spacing w:after="0"/>
              <w:rPr>
                <w:sz w:val="20"/>
                <w:szCs w:val="20"/>
                <w:color w:val="auto"/>
              </w:rPr>
            </w:pPr>
            <w:r>
              <w:rPr>
                <w:rFonts w:ascii="Arial" w:cs="Arial" w:eastAsia="Arial" w:hAnsi="Arial"/>
                <w:sz w:val="20"/>
                <w:szCs w:val="20"/>
                <w:b w:val="1"/>
                <w:bCs w:val="1"/>
                <w:color w:val="auto"/>
                <w:w w:val="86"/>
              </w:rPr>
              <w:t>10.4+</w:t>
            </w: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w w:val="96"/>
              </w:rPr>
              <w:t>Forms of Option Agreement, Stock Option Grant</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w w:val="90"/>
              </w:rPr>
              <w:t>Notice and Notice of Exercise under the 2021 Equity</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30"/>
        </w:trPr>
        <w:tc>
          <w:tcPr>
            <w:tcW w:w="1000" w:type="dxa"/>
            <w:vAlign w:val="bottom"/>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rPr>
              <w:t>Incentive Plan.</w:t>
            </w: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S-1/A</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w w:val="95"/>
              </w:rPr>
              <w:t>333-252136</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10.5</w:t>
            </w:r>
          </w:p>
        </w:tc>
        <w:tc>
          <w:tcPr>
            <w:tcW w:w="1640" w:type="dxa"/>
            <w:vAlign w:val="bottom"/>
          </w:tcPr>
          <w:p>
            <w:pPr>
              <w:jc w:val="right"/>
              <w:ind w:right="683"/>
              <w:spacing w:after="0"/>
              <w:rPr>
                <w:sz w:val="20"/>
                <w:szCs w:val="20"/>
                <w:color w:val="auto"/>
              </w:rPr>
            </w:pPr>
            <w:r>
              <w:rPr>
                <w:rFonts w:ascii="Arial" w:cs="Arial" w:eastAsia="Arial" w:hAnsi="Arial"/>
                <w:sz w:val="20"/>
                <w:szCs w:val="20"/>
                <w:b w:val="1"/>
                <w:bCs w:val="1"/>
                <w:color w:val="auto"/>
              </w:rPr>
              <w:t>2/1/2021</w:t>
            </w:r>
          </w:p>
        </w:tc>
      </w:tr>
      <w:tr>
        <w:trPr>
          <w:trHeight w:val="367"/>
        </w:trPr>
        <w:tc>
          <w:tcPr>
            <w:tcW w:w="1000" w:type="dxa"/>
            <w:vAlign w:val="bottom"/>
          </w:tcPr>
          <w:p>
            <w:pPr>
              <w:jc w:val="right"/>
              <w:ind w:right="443"/>
              <w:spacing w:after="0"/>
              <w:rPr>
                <w:sz w:val="20"/>
                <w:szCs w:val="20"/>
                <w:color w:val="auto"/>
              </w:rPr>
            </w:pPr>
            <w:r>
              <w:rPr>
                <w:rFonts w:ascii="Arial" w:cs="Arial" w:eastAsia="Arial" w:hAnsi="Arial"/>
                <w:sz w:val="20"/>
                <w:szCs w:val="20"/>
                <w:b w:val="1"/>
                <w:bCs w:val="1"/>
                <w:color w:val="auto"/>
                <w:w w:val="86"/>
              </w:rPr>
              <w:t>10.5+</w:t>
            </w: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w w:val="96"/>
              </w:rPr>
              <w:t>Forms of Restricted Stock Unit Grant Notice and</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w w:val="93"/>
              </w:rPr>
              <w:t>Restricted Stock Unit Award Agreement under the</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30"/>
        </w:trPr>
        <w:tc>
          <w:tcPr>
            <w:tcW w:w="1000" w:type="dxa"/>
            <w:vAlign w:val="bottom"/>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rPr>
              <w:t>2021 Equity Incentive Plan.</w:t>
            </w:r>
          </w:p>
        </w:tc>
        <w:tc>
          <w:tcPr>
            <w:tcW w:w="1780" w:type="dxa"/>
            <w:vAlign w:val="bottom"/>
            <w:gridSpan w:val="2"/>
          </w:tcPr>
          <w:p>
            <w:pPr>
              <w:jc w:val="right"/>
              <w:spacing w:after="0"/>
              <w:rPr>
                <w:sz w:val="20"/>
                <w:szCs w:val="20"/>
                <w:color w:val="auto"/>
              </w:rPr>
            </w:pPr>
            <w:r>
              <w:rPr>
                <w:rFonts w:ascii="Arial" w:cs="Arial" w:eastAsia="Arial" w:hAnsi="Arial"/>
                <w:sz w:val="20"/>
                <w:szCs w:val="20"/>
                <w:b w:val="1"/>
                <w:bCs w:val="1"/>
                <w:color w:val="auto"/>
              </w:rPr>
              <w:t>S-1/A  333-252136</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10.6</w:t>
            </w:r>
          </w:p>
        </w:tc>
        <w:tc>
          <w:tcPr>
            <w:tcW w:w="1640" w:type="dxa"/>
            <w:vAlign w:val="bottom"/>
          </w:tcPr>
          <w:p>
            <w:pPr>
              <w:jc w:val="right"/>
              <w:ind w:right="683"/>
              <w:spacing w:after="0"/>
              <w:rPr>
                <w:sz w:val="20"/>
                <w:szCs w:val="20"/>
                <w:color w:val="auto"/>
              </w:rPr>
            </w:pPr>
            <w:r>
              <w:rPr>
                <w:rFonts w:ascii="Arial" w:cs="Arial" w:eastAsia="Arial" w:hAnsi="Arial"/>
                <w:sz w:val="20"/>
                <w:szCs w:val="20"/>
                <w:b w:val="1"/>
                <w:bCs w:val="1"/>
                <w:color w:val="auto"/>
              </w:rPr>
              <w:t>2/1/2021</w:t>
            </w:r>
          </w:p>
        </w:tc>
      </w:tr>
      <w:tr>
        <w:trPr>
          <w:trHeight w:val="367"/>
        </w:trPr>
        <w:tc>
          <w:tcPr>
            <w:tcW w:w="1000" w:type="dxa"/>
            <w:vAlign w:val="bottom"/>
          </w:tcPr>
          <w:p>
            <w:pPr>
              <w:jc w:val="right"/>
              <w:ind w:right="443"/>
              <w:spacing w:after="0"/>
              <w:rPr>
                <w:sz w:val="20"/>
                <w:szCs w:val="20"/>
                <w:color w:val="auto"/>
              </w:rPr>
            </w:pPr>
            <w:r>
              <w:rPr>
                <w:rFonts w:ascii="Arial" w:cs="Arial" w:eastAsia="Arial" w:hAnsi="Arial"/>
                <w:sz w:val="20"/>
                <w:szCs w:val="20"/>
                <w:b w:val="1"/>
                <w:bCs w:val="1"/>
                <w:color w:val="auto"/>
                <w:w w:val="86"/>
              </w:rPr>
              <w:t>10.6+</w:t>
            </w: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rPr>
              <w:t>2021 Employee Stock Purchase Plan.</w:t>
            </w: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S-1/A</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w w:val="95"/>
              </w:rPr>
              <w:t>333-252136</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10.7</w:t>
            </w:r>
          </w:p>
        </w:tc>
        <w:tc>
          <w:tcPr>
            <w:tcW w:w="1640" w:type="dxa"/>
            <w:vAlign w:val="bottom"/>
          </w:tcPr>
          <w:p>
            <w:pPr>
              <w:jc w:val="right"/>
              <w:ind w:right="683"/>
              <w:spacing w:after="0"/>
              <w:rPr>
                <w:sz w:val="20"/>
                <w:szCs w:val="20"/>
                <w:color w:val="auto"/>
              </w:rPr>
            </w:pPr>
            <w:r>
              <w:rPr>
                <w:rFonts w:ascii="Arial" w:cs="Arial" w:eastAsia="Arial" w:hAnsi="Arial"/>
                <w:sz w:val="20"/>
                <w:szCs w:val="20"/>
                <w:b w:val="1"/>
                <w:bCs w:val="1"/>
                <w:color w:val="auto"/>
              </w:rPr>
              <w:t>2/1/2021</w:t>
            </w:r>
          </w:p>
        </w:tc>
      </w:tr>
      <w:tr>
        <w:trPr>
          <w:trHeight w:val="367"/>
        </w:trPr>
        <w:tc>
          <w:tcPr>
            <w:tcW w:w="1000" w:type="dxa"/>
            <w:vAlign w:val="bottom"/>
          </w:tcPr>
          <w:p>
            <w:pPr>
              <w:jc w:val="right"/>
              <w:ind w:right="543"/>
              <w:spacing w:after="0"/>
              <w:rPr>
                <w:sz w:val="20"/>
                <w:szCs w:val="20"/>
                <w:color w:val="auto"/>
              </w:rPr>
            </w:pPr>
            <w:r>
              <w:rPr>
                <w:rFonts w:ascii="Arial" w:cs="Arial" w:eastAsia="Arial" w:hAnsi="Arial"/>
                <w:sz w:val="20"/>
                <w:szCs w:val="20"/>
                <w:b w:val="1"/>
                <w:bCs w:val="1"/>
                <w:color w:val="auto"/>
                <w:w w:val="87"/>
              </w:rPr>
              <w:t>10.7</w:t>
            </w: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w w:val="89"/>
              </w:rPr>
              <w:t>Form of Indemnification Agreement, by and between</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w w:val="87"/>
              </w:rPr>
              <w:t>the Registrant and each of its directors and executive</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30"/>
        </w:trPr>
        <w:tc>
          <w:tcPr>
            <w:tcW w:w="1000" w:type="dxa"/>
            <w:vAlign w:val="bottom"/>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20"/>
                <w:szCs w:val="20"/>
                <w:b w:val="1"/>
                <w:bCs w:val="1"/>
                <w:color w:val="auto"/>
              </w:rPr>
              <w:t>officers.</w:t>
            </w: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S-1</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w w:val="95"/>
              </w:rPr>
              <w:t>333-252136</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10.8</w:t>
            </w:r>
          </w:p>
        </w:tc>
        <w:tc>
          <w:tcPr>
            <w:tcW w:w="1640" w:type="dxa"/>
            <w:vAlign w:val="bottom"/>
          </w:tcPr>
          <w:p>
            <w:pPr>
              <w:jc w:val="right"/>
              <w:ind w:right="683"/>
              <w:spacing w:after="0"/>
              <w:rPr>
                <w:sz w:val="20"/>
                <w:szCs w:val="20"/>
                <w:color w:val="auto"/>
              </w:rPr>
            </w:pPr>
            <w:r>
              <w:rPr>
                <w:rFonts w:ascii="Arial" w:cs="Arial" w:eastAsia="Arial" w:hAnsi="Arial"/>
                <w:sz w:val="20"/>
                <w:szCs w:val="20"/>
                <w:b w:val="1"/>
                <w:bCs w:val="1"/>
                <w:color w:val="auto"/>
                <w:w w:val="94"/>
              </w:rPr>
              <w:t>1/15/2021</w:t>
            </w:r>
          </w:p>
        </w:tc>
      </w:tr>
    </w:tbl>
    <w:p>
      <w:pPr>
        <w:spacing w:after="0" w:line="200" w:lineRule="exact"/>
        <w:rPr>
          <w:sz w:val="20"/>
          <w:szCs w:val="20"/>
          <w:color w:val="auto"/>
        </w:rPr>
      </w:pPr>
    </w:p>
    <w:p>
      <w:pPr>
        <w:sectPr>
          <w:pgSz w:w="12240" w:h="15840" w:orient="portrait"/>
          <w:cols w:equalWidth="0" w:num="1">
            <w:col w:w="9680"/>
          </w:cols>
          <w:pgMar w:left="1260" w:top="1079" w:right="1300" w:bottom="181"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114</w:t>
      </w:r>
    </w:p>
    <w:p>
      <w:pPr>
        <w:sectPr>
          <w:pgSz w:w="12240" w:h="15840" w:orient="portrait"/>
          <w:cols w:equalWidth="0" w:num="1">
            <w:col w:w="9680"/>
          </w:cols>
          <w:pgMar w:left="1260" w:top="1079" w:right="1300" w:bottom="181"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184"/>
        </w:trPr>
        <w:tc>
          <w:tcPr>
            <w:tcW w:w="1000" w:type="dxa"/>
            <w:vAlign w:val="bottom"/>
          </w:tcPr>
          <w:p>
            <w:pPr>
              <w:ind w:left="280"/>
              <w:spacing w:after="0"/>
              <w:rPr>
                <w:sz w:val="20"/>
                <w:szCs w:val="20"/>
                <w:color w:val="auto"/>
              </w:rPr>
            </w:pPr>
            <w:r>
              <w:rPr>
                <w:rFonts w:ascii="Arial" w:cs="Arial" w:eastAsia="Arial" w:hAnsi="Arial"/>
                <w:sz w:val="16"/>
                <w:szCs w:val="16"/>
                <w:b w:val="1"/>
                <w:bCs w:val="1"/>
                <w:color w:val="auto"/>
              </w:rPr>
              <w:t>Exhibit</w:t>
            </w:r>
          </w:p>
        </w:tc>
        <w:tc>
          <w:tcPr>
            <w:tcW w:w="4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80" w:type="dxa"/>
            <w:vAlign w:val="bottom"/>
          </w:tcPr>
          <w:p>
            <w:pPr>
              <w:jc w:val="right"/>
              <w:ind w:right="84"/>
              <w:spacing w:after="0"/>
              <w:rPr>
                <w:sz w:val="20"/>
                <w:szCs w:val="20"/>
                <w:color w:val="auto"/>
              </w:rPr>
            </w:pPr>
            <w:r>
              <w:rPr>
                <w:rFonts w:ascii="Arial" w:cs="Arial" w:eastAsia="Arial" w:hAnsi="Arial"/>
                <w:sz w:val="16"/>
                <w:szCs w:val="16"/>
                <w:b w:val="1"/>
                <w:bCs w:val="1"/>
                <w:color w:val="auto"/>
              </w:rPr>
              <w:t>Filed</w:t>
            </w:r>
          </w:p>
        </w:tc>
      </w:tr>
      <w:tr>
        <w:trPr>
          <w:trHeight w:val="185"/>
        </w:trPr>
        <w:tc>
          <w:tcPr>
            <w:tcW w:w="1000" w:type="dxa"/>
            <w:vAlign w:val="bottom"/>
          </w:tcPr>
          <w:p>
            <w:pPr>
              <w:ind w:left="260"/>
              <w:spacing w:after="0"/>
              <w:rPr>
                <w:sz w:val="20"/>
                <w:szCs w:val="20"/>
                <w:color w:val="auto"/>
              </w:rPr>
            </w:pPr>
            <w:r>
              <w:rPr>
                <w:rFonts w:ascii="Arial" w:cs="Arial" w:eastAsia="Arial" w:hAnsi="Arial"/>
                <w:sz w:val="16"/>
                <w:szCs w:val="16"/>
                <w:b w:val="1"/>
                <w:bCs w:val="1"/>
                <w:color w:val="auto"/>
              </w:rPr>
              <w:t>Number</w:t>
            </w:r>
          </w:p>
        </w:tc>
        <w:tc>
          <w:tcPr>
            <w:tcW w:w="4740" w:type="dxa"/>
            <w:vAlign w:val="bottom"/>
          </w:tcPr>
          <w:p>
            <w:pPr>
              <w:ind w:left="1660"/>
              <w:spacing w:after="0"/>
              <w:rPr>
                <w:sz w:val="20"/>
                <w:szCs w:val="20"/>
                <w:color w:val="auto"/>
              </w:rPr>
            </w:pPr>
            <w:r>
              <w:rPr>
                <w:rFonts w:ascii="Arial" w:cs="Arial" w:eastAsia="Arial" w:hAnsi="Arial"/>
                <w:sz w:val="16"/>
                <w:szCs w:val="16"/>
                <w:b w:val="1"/>
                <w:bCs w:val="1"/>
                <w:color w:val="auto"/>
              </w:rPr>
              <w:t>Description of Exhibit</w:t>
            </w:r>
          </w:p>
        </w:tc>
        <w:tc>
          <w:tcPr>
            <w:tcW w:w="580" w:type="dxa"/>
            <w:vAlign w:val="bottom"/>
          </w:tcPr>
          <w:p>
            <w:pPr>
              <w:jc w:val="right"/>
              <w:ind w:right="23"/>
              <w:spacing w:after="0"/>
              <w:rPr>
                <w:sz w:val="20"/>
                <w:szCs w:val="20"/>
                <w:color w:val="auto"/>
              </w:rPr>
            </w:pPr>
            <w:r>
              <w:rPr>
                <w:rFonts w:ascii="Arial" w:cs="Arial" w:eastAsia="Arial" w:hAnsi="Arial"/>
                <w:sz w:val="16"/>
                <w:szCs w:val="16"/>
                <w:b w:val="1"/>
                <w:bCs w:val="1"/>
                <w:color w:val="auto"/>
              </w:rPr>
              <w:t>Form</w:t>
            </w:r>
          </w:p>
        </w:tc>
        <w:tc>
          <w:tcPr>
            <w:tcW w:w="1100" w:type="dxa"/>
            <w:vAlign w:val="bottom"/>
          </w:tcPr>
          <w:p>
            <w:pPr>
              <w:jc w:val="right"/>
              <w:ind w:right="203"/>
              <w:spacing w:after="0"/>
              <w:rPr>
                <w:sz w:val="20"/>
                <w:szCs w:val="20"/>
                <w:color w:val="auto"/>
              </w:rPr>
            </w:pPr>
            <w:r>
              <w:rPr>
                <w:rFonts w:ascii="Arial" w:cs="Arial" w:eastAsia="Arial" w:hAnsi="Arial"/>
                <w:sz w:val="16"/>
                <w:szCs w:val="16"/>
                <w:b w:val="1"/>
                <w:bCs w:val="1"/>
                <w:color w:val="auto"/>
              </w:rPr>
              <w:t>File No.</w:t>
            </w: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Exhibit  Filing Date  Herewith</w:t>
            </w:r>
          </w:p>
        </w:tc>
      </w:tr>
      <w:tr>
        <w:trPr>
          <w:trHeight w:val="368"/>
        </w:trPr>
        <w:tc>
          <w:tcPr>
            <w:tcW w:w="1000" w:type="dxa"/>
            <w:vAlign w:val="bottom"/>
          </w:tcPr>
          <w:p>
            <w:pPr>
              <w:spacing w:after="0"/>
              <w:rPr>
                <w:sz w:val="20"/>
                <w:szCs w:val="20"/>
                <w:color w:val="auto"/>
              </w:rPr>
            </w:pPr>
            <w:r>
              <w:rPr>
                <w:rFonts w:ascii="Arial" w:cs="Arial" w:eastAsia="Arial" w:hAnsi="Arial"/>
                <w:sz w:val="20"/>
                <w:szCs w:val="20"/>
                <w:b w:val="1"/>
                <w:bCs w:val="1"/>
                <w:color w:val="auto"/>
              </w:rPr>
              <w:t>10.11+</w:t>
            </w: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w w:val="87"/>
              </w:rPr>
              <w:t>Offer Letter by and between the Registrant and William</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1000" w:type="dxa"/>
            <w:vAlign w:val="bottom"/>
          </w:tcPr>
          <w:p>
            <w:pPr>
              <w:spacing w:after="0"/>
              <w:rPr>
                <w:sz w:val="19"/>
                <w:szCs w:val="19"/>
                <w:color w:val="auto"/>
              </w:rPr>
            </w:pPr>
          </w:p>
        </w:tc>
        <w:tc>
          <w:tcPr>
            <w:tcW w:w="4740" w:type="dxa"/>
            <w:vAlign w:val="bottom"/>
          </w:tcPr>
          <w:p>
            <w:pPr>
              <w:ind w:left="160"/>
              <w:spacing w:after="0" w:line="228" w:lineRule="exact"/>
              <w:rPr>
                <w:sz w:val="20"/>
                <w:szCs w:val="20"/>
                <w:color w:val="auto"/>
              </w:rPr>
            </w:pPr>
            <w:r>
              <w:rPr>
                <w:rFonts w:ascii="Arial" w:cs="Arial" w:eastAsia="Arial" w:hAnsi="Arial"/>
                <w:sz w:val="20"/>
                <w:szCs w:val="20"/>
                <w:b w:val="1"/>
                <w:bCs w:val="1"/>
                <w:color w:val="auto"/>
              </w:rPr>
              <w:t>Quinn, dated April 14, 2020.</w:t>
            </w:r>
          </w:p>
        </w:tc>
        <w:tc>
          <w:tcPr>
            <w:tcW w:w="5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S-1</w:t>
            </w:r>
          </w:p>
        </w:tc>
        <w:tc>
          <w:tcPr>
            <w:tcW w:w="11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w w:val="95"/>
              </w:rPr>
              <w:t>333-252136</w:t>
            </w:r>
          </w:p>
        </w:tc>
        <w:tc>
          <w:tcPr>
            <w:tcW w:w="2280" w:type="dxa"/>
            <w:vAlign w:val="bottom"/>
          </w:tcPr>
          <w:p>
            <w:pPr>
              <w:jc w:val="right"/>
              <w:ind w:right="704"/>
              <w:spacing w:after="0" w:line="228" w:lineRule="exact"/>
              <w:rPr>
                <w:sz w:val="20"/>
                <w:szCs w:val="20"/>
                <w:color w:val="auto"/>
              </w:rPr>
            </w:pPr>
            <w:r>
              <w:rPr>
                <w:rFonts w:ascii="Arial" w:cs="Arial" w:eastAsia="Arial" w:hAnsi="Arial"/>
                <w:sz w:val="20"/>
                <w:szCs w:val="20"/>
                <w:b w:val="1"/>
                <w:bCs w:val="1"/>
                <w:color w:val="auto"/>
              </w:rPr>
              <w:t>10.11 1/15/2021</w:t>
            </w:r>
          </w:p>
        </w:tc>
      </w:tr>
      <w:tr>
        <w:trPr>
          <w:trHeight w:val="370"/>
        </w:trPr>
        <w:tc>
          <w:tcPr>
            <w:tcW w:w="1000" w:type="dxa"/>
            <w:vAlign w:val="bottom"/>
          </w:tcPr>
          <w:p>
            <w:pPr>
              <w:spacing w:after="0"/>
              <w:rPr>
                <w:sz w:val="20"/>
                <w:szCs w:val="20"/>
                <w:color w:val="auto"/>
              </w:rPr>
            </w:pPr>
            <w:r>
              <w:rPr>
                <w:rFonts w:ascii="Arial" w:cs="Arial" w:eastAsia="Arial" w:hAnsi="Arial"/>
                <w:sz w:val="20"/>
                <w:szCs w:val="20"/>
                <w:b w:val="1"/>
                <w:bCs w:val="1"/>
                <w:color w:val="auto"/>
              </w:rPr>
              <w:t>10.14+</w:t>
            </w: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w w:val="90"/>
              </w:rPr>
              <w:t>Offer Letter by and between the Registrant and Grant</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rPr>
              <w:t>Yonehiro, dated October 26, 2016.</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auto"/>
              </w:rPr>
              <w:t>S-1</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w w:val="95"/>
              </w:rPr>
              <w:t>333-252136</w:t>
            </w:r>
          </w:p>
        </w:tc>
        <w:tc>
          <w:tcPr>
            <w:tcW w:w="2280" w:type="dxa"/>
            <w:vAlign w:val="bottom"/>
          </w:tcPr>
          <w:p>
            <w:pPr>
              <w:jc w:val="right"/>
              <w:ind w:right="704"/>
              <w:spacing w:after="0"/>
              <w:rPr>
                <w:sz w:val="20"/>
                <w:szCs w:val="20"/>
                <w:color w:val="auto"/>
              </w:rPr>
            </w:pPr>
            <w:r>
              <w:rPr>
                <w:rFonts w:ascii="Arial" w:cs="Arial" w:eastAsia="Arial" w:hAnsi="Arial"/>
                <w:sz w:val="20"/>
                <w:szCs w:val="20"/>
                <w:b w:val="1"/>
                <w:bCs w:val="1"/>
                <w:color w:val="auto"/>
              </w:rPr>
              <w:t>10.14 1/15/2021</w:t>
            </w:r>
          </w:p>
        </w:tc>
      </w:tr>
      <w:tr>
        <w:trPr>
          <w:trHeight w:val="367"/>
        </w:trPr>
        <w:tc>
          <w:tcPr>
            <w:tcW w:w="1000" w:type="dxa"/>
            <w:vAlign w:val="bottom"/>
          </w:tcPr>
          <w:p>
            <w:pPr>
              <w:spacing w:after="0"/>
              <w:rPr>
                <w:sz w:val="20"/>
                <w:szCs w:val="20"/>
                <w:color w:val="auto"/>
              </w:rPr>
            </w:pPr>
            <w:r>
              <w:rPr>
                <w:rFonts w:ascii="Arial" w:cs="Arial" w:eastAsia="Arial" w:hAnsi="Arial"/>
                <w:sz w:val="20"/>
                <w:szCs w:val="20"/>
                <w:b w:val="1"/>
                <w:bCs w:val="1"/>
                <w:color w:val="auto"/>
              </w:rPr>
              <w:t>10.15</w:t>
            </w: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w w:val="93"/>
              </w:rPr>
              <w:t>Britannia Seaport Centre Lease by and between the</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w w:val="96"/>
              </w:rPr>
              <w:t>Registrant and HCP LS Redwood City, LLC, dated</w:t>
            </w: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30"/>
        </w:trPr>
        <w:tc>
          <w:tcPr>
            <w:tcW w:w="100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rPr>
              <w:t>August 7, 2020</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auto"/>
              </w:rPr>
              <w:t>S-1</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w w:val="95"/>
              </w:rPr>
              <w:t>333-252136</w:t>
            </w:r>
          </w:p>
        </w:tc>
        <w:tc>
          <w:tcPr>
            <w:tcW w:w="2280" w:type="dxa"/>
            <w:vAlign w:val="bottom"/>
          </w:tcPr>
          <w:p>
            <w:pPr>
              <w:jc w:val="right"/>
              <w:ind w:right="704"/>
              <w:spacing w:after="0"/>
              <w:rPr>
                <w:sz w:val="20"/>
                <w:szCs w:val="20"/>
                <w:color w:val="auto"/>
              </w:rPr>
            </w:pPr>
            <w:r>
              <w:rPr>
                <w:rFonts w:ascii="Arial" w:cs="Arial" w:eastAsia="Arial" w:hAnsi="Arial"/>
                <w:sz w:val="20"/>
                <w:szCs w:val="20"/>
                <w:b w:val="1"/>
                <w:bCs w:val="1"/>
                <w:color w:val="auto"/>
              </w:rPr>
              <w:t>10.19 1/15/2021</w:t>
            </w:r>
          </w:p>
        </w:tc>
      </w:tr>
      <w:tr>
        <w:trPr>
          <w:trHeight w:val="367"/>
        </w:trPr>
        <w:tc>
          <w:tcPr>
            <w:tcW w:w="1000" w:type="dxa"/>
            <w:vAlign w:val="bottom"/>
          </w:tcPr>
          <w:p>
            <w:pPr>
              <w:spacing w:after="0"/>
              <w:rPr>
                <w:sz w:val="20"/>
                <w:szCs w:val="20"/>
                <w:color w:val="auto"/>
              </w:rPr>
            </w:pPr>
            <w:r>
              <w:rPr>
                <w:rFonts w:ascii="Arial" w:cs="Arial" w:eastAsia="Arial" w:hAnsi="Arial"/>
                <w:sz w:val="20"/>
                <w:szCs w:val="20"/>
                <w:b w:val="1"/>
                <w:bCs w:val="1"/>
                <w:color w:val="auto"/>
              </w:rPr>
              <w:t>10.16</w:t>
            </w: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w w:val="96"/>
              </w:rPr>
              <w:t>Exclusive (Equity) Agreement by and between the</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w w:val="93"/>
              </w:rPr>
              <w:t>Registrant and The Board of Trustees of the Leland</w:t>
            </w: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30"/>
        </w:trPr>
        <w:tc>
          <w:tcPr>
            <w:tcW w:w="100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w w:val="95"/>
              </w:rPr>
              <w:t>Stanford Junior University, dated May 18, 2015, as</w:t>
            </w: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28"/>
        </w:trPr>
        <w:tc>
          <w:tcPr>
            <w:tcW w:w="1000" w:type="dxa"/>
            <w:vAlign w:val="bottom"/>
          </w:tcPr>
          <w:p>
            <w:pPr>
              <w:spacing w:after="0"/>
              <w:rPr>
                <w:sz w:val="19"/>
                <w:szCs w:val="19"/>
                <w:color w:val="auto"/>
              </w:rPr>
            </w:pPr>
          </w:p>
        </w:tc>
        <w:tc>
          <w:tcPr>
            <w:tcW w:w="4740" w:type="dxa"/>
            <w:vAlign w:val="bottom"/>
          </w:tcPr>
          <w:p>
            <w:pPr>
              <w:ind w:left="160"/>
              <w:spacing w:after="0" w:line="228" w:lineRule="exact"/>
              <w:rPr>
                <w:sz w:val="20"/>
                <w:szCs w:val="20"/>
                <w:color w:val="auto"/>
              </w:rPr>
            </w:pPr>
            <w:r>
              <w:rPr>
                <w:rFonts w:ascii="Arial" w:cs="Arial" w:eastAsia="Arial" w:hAnsi="Arial"/>
                <w:sz w:val="20"/>
                <w:szCs w:val="20"/>
                <w:b w:val="1"/>
                <w:bCs w:val="1"/>
                <w:color w:val="auto"/>
                <w:w w:val="92"/>
              </w:rPr>
              <w:t>amended by Amendment No. 1 to Exclusive (Equity)</w:t>
            </w: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w w:val="94"/>
              </w:rPr>
              <w:t>Agreement by and between the Registrant and The</w:t>
            </w: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30"/>
        </w:trPr>
        <w:tc>
          <w:tcPr>
            <w:tcW w:w="100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rPr>
              <w:t>Board of Trustees of the Leland Stanford Junior</w:t>
            </w: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30"/>
        </w:trPr>
        <w:tc>
          <w:tcPr>
            <w:tcW w:w="100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w w:val="88"/>
              </w:rPr>
              <w:t>University, dated August 2, 2016, and Amendment No.</w:t>
            </w: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30"/>
        </w:trPr>
        <w:tc>
          <w:tcPr>
            <w:tcW w:w="100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w w:val="88"/>
              </w:rPr>
              <w:t>2 to Exclusive (Equity) Agreement by and between the</w:t>
            </w: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30"/>
        </w:trPr>
        <w:tc>
          <w:tcPr>
            <w:tcW w:w="100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w w:val="93"/>
              </w:rPr>
              <w:t>Registrant and The Board of Trustees of the Leland</w:t>
            </w: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28"/>
        </w:trPr>
        <w:tc>
          <w:tcPr>
            <w:tcW w:w="1000" w:type="dxa"/>
            <w:vAlign w:val="bottom"/>
          </w:tcPr>
          <w:p>
            <w:pPr>
              <w:spacing w:after="0"/>
              <w:rPr>
                <w:sz w:val="19"/>
                <w:szCs w:val="19"/>
                <w:color w:val="auto"/>
              </w:rPr>
            </w:pPr>
          </w:p>
        </w:tc>
        <w:tc>
          <w:tcPr>
            <w:tcW w:w="4740" w:type="dxa"/>
            <w:vAlign w:val="bottom"/>
          </w:tcPr>
          <w:p>
            <w:pPr>
              <w:ind w:left="160"/>
              <w:spacing w:after="0" w:line="228" w:lineRule="exact"/>
              <w:rPr>
                <w:sz w:val="20"/>
                <w:szCs w:val="20"/>
                <w:color w:val="auto"/>
              </w:rPr>
            </w:pPr>
            <w:r>
              <w:rPr>
                <w:rFonts w:ascii="Arial" w:cs="Arial" w:eastAsia="Arial" w:hAnsi="Arial"/>
                <w:sz w:val="20"/>
                <w:szCs w:val="20"/>
                <w:b w:val="1"/>
                <w:bCs w:val="1"/>
                <w:color w:val="auto"/>
              </w:rPr>
              <w:t>Stanford Junior University dated June 25, 2018.</w:t>
            </w:r>
          </w:p>
        </w:tc>
        <w:tc>
          <w:tcPr>
            <w:tcW w:w="5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S-1</w:t>
            </w:r>
          </w:p>
        </w:tc>
        <w:tc>
          <w:tcPr>
            <w:tcW w:w="11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w w:val="95"/>
              </w:rPr>
              <w:t>333-252136</w:t>
            </w:r>
          </w:p>
        </w:tc>
        <w:tc>
          <w:tcPr>
            <w:tcW w:w="2280" w:type="dxa"/>
            <w:vAlign w:val="bottom"/>
          </w:tcPr>
          <w:p>
            <w:pPr>
              <w:jc w:val="right"/>
              <w:ind w:right="704"/>
              <w:spacing w:after="0" w:line="228" w:lineRule="exact"/>
              <w:rPr>
                <w:sz w:val="20"/>
                <w:szCs w:val="20"/>
                <w:color w:val="auto"/>
              </w:rPr>
            </w:pPr>
            <w:r>
              <w:rPr>
                <w:rFonts w:ascii="Arial" w:cs="Arial" w:eastAsia="Arial" w:hAnsi="Arial"/>
                <w:sz w:val="20"/>
                <w:szCs w:val="20"/>
                <w:b w:val="1"/>
                <w:bCs w:val="1"/>
                <w:color w:val="auto"/>
              </w:rPr>
              <w:t>10.20 1/15/2021</w:t>
            </w:r>
          </w:p>
        </w:tc>
      </w:tr>
      <w:tr>
        <w:trPr>
          <w:trHeight w:val="370"/>
        </w:trPr>
        <w:tc>
          <w:tcPr>
            <w:tcW w:w="1000" w:type="dxa"/>
            <w:vAlign w:val="bottom"/>
          </w:tcPr>
          <w:p>
            <w:pPr>
              <w:spacing w:after="0"/>
              <w:rPr>
                <w:sz w:val="20"/>
                <w:szCs w:val="20"/>
                <w:color w:val="auto"/>
              </w:rPr>
            </w:pPr>
            <w:r>
              <w:rPr>
                <w:rFonts w:ascii="Arial" w:cs="Arial" w:eastAsia="Arial" w:hAnsi="Arial"/>
                <w:sz w:val="20"/>
                <w:szCs w:val="20"/>
                <w:b w:val="1"/>
                <w:bCs w:val="1"/>
                <w:color w:val="auto"/>
              </w:rPr>
              <w:t>10.18+</w:t>
            </w: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w w:val="96"/>
              </w:rPr>
              <w:t>Amended and Restated Severance and Change in</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rPr>
              <w:t>Control Plan.</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auto"/>
              </w:rPr>
              <w:t>10-K</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001-39988</w:t>
            </w:r>
          </w:p>
        </w:tc>
        <w:tc>
          <w:tcPr>
            <w:tcW w:w="2280" w:type="dxa"/>
            <w:vAlign w:val="bottom"/>
          </w:tcPr>
          <w:p>
            <w:pPr>
              <w:jc w:val="right"/>
              <w:ind w:right="704"/>
              <w:spacing w:after="0"/>
              <w:rPr>
                <w:sz w:val="20"/>
                <w:szCs w:val="20"/>
                <w:color w:val="auto"/>
              </w:rPr>
            </w:pPr>
            <w:r>
              <w:rPr>
                <w:rFonts w:ascii="Arial" w:cs="Arial" w:eastAsia="Arial" w:hAnsi="Arial"/>
                <w:sz w:val="20"/>
                <w:szCs w:val="20"/>
                <w:b w:val="1"/>
                <w:bCs w:val="1"/>
                <w:color w:val="auto"/>
              </w:rPr>
              <w:t>10.24 3/29/2023</w:t>
            </w:r>
          </w:p>
        </w:tc>
      </w:tr>
      <w:tr>
        <w:trPr>
          <w:trHeight w:val="367"/>
        </w:trPr>
        <w:tc>
          <w:tcPr>
            <w:tcW w:w="1000" w:type="dxa"/>
            <w:vAlign w:val="bottom"/>
          </w:tcPr>
          <w:p>
            <w:pPr>
              <w:spacing w:after="0"/>
              <w:rPr>
                <w:sz w:val="20"/>
                <w:szCs w:val="20"/>
                <w:color w:val="auto"/>
              </w:rPr>
            </w:pPr>
            <w:r>
              <w:rPr>
                <w:rFonts w:ascii="Arial" w:cs="Arial" w:eastAsia="Arial" w:hAnsi="Arial"/>
                <w:sz w:val="20"/>
                <w:szCs w:val="20"/>
                <w:b w:val="1"/>
                <w:bCs w:val="1"/>
                <w:color w:val="auto"/>
              </w:rPr>
              <w:t>10.19</w:t>
            </w: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w w:val="87"/>
              </w:rPr>
              <w:t>First Amendment to Britannia Seaport Centre Lease by</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w w:val="86"/>
              </w:rPr>
              <w:t>and between the Registrant and HCP LS Redwood City,</w:t>
            </w: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30"/>
        </w:trPr>
        <w:tc>
          <w:tcPr>
            <w:tcW w:w="100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rPr>
              <w:t>LLC, dated November 7, 2022.</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auto"/>
              </w:rPr>
              <w:t>10-K</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001-39988</w:t>
            </w:r>
          </w:p>
        </w:tc>
        <w:tc>
          <w:tcPr>
            <w:tcW w:w="2280" w:type="dxa"/>
            <w:vAlign w:val="bottom"/>
          </w:tcPr>
          <w:p>
            <w:pPr>
              <w:jc w:val="right"/>
              <w:ind w:right="704"/>
              <w:spacing w:after="0"/>
              <w:rPr>
                <w:sz w:val="20"/>
                <w:szCs w:val="20"/>
                <w:color w:val="auto"/>
              </w:rPr>
            </w:pPr>
            <w:r>
              <w:rPr>
                <w:rFonts w:ascii="Arial" w:cs="Arial" w:eastAsia="Arial" w:hAnsi="Arial"/>
                <w:sz w:val="20"/>
                <w:szCs w:val="20"/>
                <w:b w:val="1"/>
                <w:bCs w:val="1"/>
                <w:color w:val="auto"/>
              </w:rPr>
              <w:t>10.25 3/29/2023</w:t>
            </w:r>
          </w:p>
        </w:tc>
      </w:tr>
      <w:tr>
        <w:trPr>
          <w:trHeight w:val="367"/>
        </w:trPr>
        <w:tc>
          <w:tcPr>
            <w:tcW w:w="1000" w:type="dxa"/>
            <w:vAlign w:val="bottom"/>
          </w:tcPr>
          <w:p>
            <w:pPr>
              <w:spacing w:after="0"/>
              <w:rPr>
                <w:sz w:val="20"/>
                <w:szCs w:val="20"/>
                <w:color w:val="auto"/>
              </w:rPr>
            </w:pPr>
            <w:r>
              <w:rPr>
                <w:rFonts w:ascii="Arial" w:cs="Arial" w:eastAsia="Arial" w:hAnsi="Arial"/>
                <w:sz w:val="20"/>
                <w:szCs w:val="20"/>
                <w:b w:val="1"/>
                <w:bCs w:val="1"/>
                <w:color w:val="auto"/>
              </w:rPr>
              <w:t>19.1</w:t>
            </w: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rPr>
              <w:t>Insider Trading Policy</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auto"/>
              </w:rPr>
              <w:t>10-K</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001-39988</w:t>
            </w:r>
          </w:p>
        </w:tc>
        <w:tc>
          <w:tcPr>
            <w:tcW w:w="2280" w:type="dxa"/>
            <w:vAlign w:val="bottom"/>
          </w:tcPr>
          <w:p>
            <w:pPr>
              <w:jc w:val="right"/>
              <w:ind w:right="704"/>
              <w:spacing w:after="0"/>
              <w:rPr>
                <w:sz w:val="20"/>
                <w:szCs w:val="20"/>
                <w:color w:val="auto"/>
              </w:rPr>
            </w:pPr>
            <w:r>
              <w:rPr>
                <w:rFonts w:ascii="Arial" w:cs="Arial" w:eastAsia="Arial" w:hAnsi="Arial"/>
                <w:sz w:val="20"/>
                <w:szCs w:val="20"/>
                <w:b w:val="1"/>
                <w:bCs w:val="1"/>
                <w:color w:val="auto"/>
              </w:rPr>
              <w:t>19.1 3/24/2025</w:t>
            </w:r>
          </w:p>
        </w:tc>
      </w:tr>
      <w:tr>
        <w:trPr>
          <w:trHeight w:val="461"/>
        </w:trPr>
        <w:tc>
          <w:tcPr>
            <w:tcW w:w="1000" w:type="dxa"/>
            <w:vAlign w:val="bottom"/>
          </w:tcPr>
          <w:p>
            <w:pPr>
              <w:spacing w:after="0"/>
              <w:rPr>
                <w:sz w:val="20"/>
                <w:szCs w:val="20"/>
                <w:color w:val="auto"/>
              </w:rPr>
            </w:pPr>
            <w:r>
              <w:rPr>
                <w:rFonts w:ascii="Arial" w:cs="Arial" w:eastAsia="Arial" w:hAnsi="Arial"/>
                <w:sz w:val="20"/>
                <w:szCs w:val="20"/>
                <w:b w:val="1"/>
                <w:bCs w:val="1"/>
                <w:color w:val="auto"/>
              </w:rPr>
              <w:t>21.1</w:t>
            </w: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rPr>
              <w:t>Subsidiaries of the Registrant</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20"/>
                <w:szCs w:val="20"/>
                <w:b w:val="1"/>
                <w:bCs w:val="1"/>
                <w:color w:val="auto"/>
              </w:rPr>
              <w:t>X</w:t>
            </w:r>
          </w:p>
        </w:tc>
      </w:tr>
      <w:tr>
        <w:trPr>
          <w:trHeight w:val="458"/>
        </w:trPr>
        <w:tc>
          <w:tcPr>
            <w:tcW w:w="1000" w:type="dxa"/>
            <w:vAlign w:val="bottom"/>
          </w:tcPr>
          <w:p>
            <w:pPr>
              <w:spacing w:after="0"/>
              <w:rPr>
                <w:sz w:val="20"/>
                <w:szCs w:val="20"/>
                <w:color w:val="auto"/>
              </w:rPr>
            </w:pPr>
            <w:r>
              <w:rPr>
                <w:rFonts w:ascii="Arial" w:cs="Arial" w:eastAsia="Arial" w:hAnsi="Arial"/>
                <w:sz w:val="20"/>
                <w:szCs w:val="20"/>
                <w:b w:val="1"/>
                <w:bCs w:val="1"/>
                <w:color w:val="auto"/>
              </w:rPr>
              <w:t>23.1</w:t>
            </w: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w w:val="86"/>
              </w:rPr>
              <w:t>Consent of PricewaterhouseCoopers LLP, independent</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rPr>
              <w:t>registered public accounting firm.</w:t>
            </w: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20"/>
                <w:szCs w:val="20"/>
                <w:b w:val="1"/>
                <w:bCs w:val="1"/>
                <w:color w:val="auto"/>
              </w:rPr>
              <w:t>X</w:t>
            </w:r>
          </w:p>
        </w:tc>
      </w:tr>
      <w:tr>
        <w:trPr>
          <w:trHeight w:val="367"/>
        </w:trPr>
        <w:tc>
          <w:tcPr>
            <w:tcW w:w="1000" w:type="dxa"/>
            <w:vAlign w:val="bottom"/>
          </w:tcPr>
          <w:p>
            <w:pPr>
              <w:spacing w:after="0"/>
              <w:rPr>
                <w:sz w:val="20"/>
                <w:szCs w:val="20"/>
                <w:color w:val="auto"/>
              </w:rPr>
            </w:pPr>
            <w:r>
              <w:rPr>
                <w:rFonts w:ascii="Arial" w:cs="Arial" w:eastAsia="Arial" w:hAnsi="Arial"/>
                <w:sz w:val="20"/>
                <w:szCs w:val="20"/>
                <w:b w:val="1"/>
                <w:bCs w:val="1"/>
                <w:color w:val="auto"/>
              </w:rPr>
              <w:t>24.1</w:t>
            </w: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w w:val="90"/>
              </w:rPr>
              <w:t>Power of Attorney (see signature page to this Annual</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20"/>
                <w:szCs w:val="20"/>
                <w:b w:val="1"/>
                <w:bCs w:val="1"/>
                <w:color w:val="auto"/>
              </w:rPr>
              <w:t>Report on Form 10-K).</w:t>
            </w: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20"/>
                <w:szCs w:val="20"/>
                <w:b w:val="1"/>
                <w:bCs w:val="1"/>
                <w:color w:val="auto"/>
              </w:rPr>
              <w:t>X</w:t>
            </w:r>
          </w:p>
        </w:tc>
      </w:tr>
    </w:tbl>
    <w:p>
      <w:pPr>
        <w:spacing w:after="0" w:line="200" w:lineRule="exact"/>
        <w:rPr>
          <w:sz w:val="20"/>
          <w:szCs w:val="20"/>
          <w:color w:val="auto"/>
        </w:rPr>
      </w:pPr>
    </w:p>
    <w:p>
      <w:pPr>
        <w:sectPr>
          <w:pgSz w:w="12240" w:h="15840" w:orient="portrait"/>
          <w:cols w:equalWidth="0" w:num="1">
            <w:col w:w="9700"/>
          </w:cols>
          <w:pgMar w:left="1260" w:top="1078"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115</w:t>
      </w:r>
    </w:p>
    <w:p>
      <w:pPr>
        <w:sectPr>
          <w:pgSz w:w="12240" w:h="15840" w:orient="portrait"/>
          <w:cols w:equalWidth="0" w:num="1">
            <w:col w:w="9700"/>
          </w:cols>
          <w:pgMar w:left="1260" w:top="1078" w:right="1280" w:bottom="181"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184"/>
        </w:trPr>
        <w:tc>
          <w:tcPr>
            <w:tcW w:w="1000" w:type="dxa"/>
            <w:vAlign w:val="bottom"/>
          </w:tcPr>
          <w:p>
            <w:pPr>
              <w:ind w:left="280"/>
              <w:spacing w:after="0"/>
              <w:rPr>
                <w:sz w:val="20"/>
                <w:szCs w:val="20"/>
                <w:color w:val="auto"/>
              </w:rPr>
            </w:pPr>
            <w:r>
              <w:rPr>
                <w:rFonts w:ascii="Arial" w:cs="Arial" w:eastAsia="Arial" w:hAnsi="Arial"/>
                <w:sz w:val="16"/>
                <w:szCs w:val="16"/>
                <w:b w:val="1"/>
                <w:bCs w:val="1"/>
                <w:color w:val="auto"/>
              </w:rPr>
              <w:t>Exhibit</w:t>
            </w:r>
          </w:p>
        </w:tc>
        <w:tc>
          <w:tcPr>
            <w:tcW w:w="4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tcPr>
          <w:p>
            <w:pPr>
              <w:ind w:left="1140"/>
              <w:spacing w:after="0"/>
              <w:rPr>
                <w:sz w:val="20"/>
                <w:szCs w:val="20"/>
                <w:color w:val="auto"/>
              </w:rPr>
            </w:pPr>
            <w:r>
              <w:rPr>
                <w:rFonts w:ascii="Arial" w:cs="Arial" w:eastAsia="Arial" w:hAnsi="Arial"/>
                <w:sz w:val="16"/>
                <w:szCs w:val="16"/>
                <w:b w:val="1"/>
                <w:bCs w:val="1"/>
                <w:color w:val="auto"/>
              </w:rPr>
              <w:t>Filed</w:t>
            </w:r>
          </w:p>
        </w:tc>
      </w:tr>
      <w:tr>
        <w:trPr>
          <w:trHeight w:val="185"/>
        </w:trPr>
        <w:tc>
          <w:tcPr>
            <w:tcW w:w="1000" w:type="dxa"/>
            <w:vAlign w:val="bottom"/>
          </w:tcPr>
          <w:p>
            <w:pPr>
              <w:ind w:left="260"/>
              <w:spacing w:after="0"/>
              <w:rPr>
                <w:sz w:val="20"/>
                <w:szCs w:val="20"/>
                <w:color w:val="auto"/>
              </w:rPr>
            </w:pPr>
            <w:r>
              <w:rPr>
                <w:rFonts w:ascii="Arial" w:cs="Arial" w:eastAsia="Arial" w:hAnsi="Arial"/>
                <w:sz w:val="16"/>
                <w:szCs w:val="16"/>
                <w:b w:val="1"/>
                <w:bCs w:val="1"/>
                <w:color w:val="auto"/>
              </w:rPr>
              <w:t>Number</w:t>
            </w:r>
          </w:p>
        </w:tc>
        <w:tc>
          <w:tcPr>
            <w:tcW w:w="4700" w:type="dxa"/>
            <w:vAlign w:val="bottom"/>
          </w:tcPr>
          <w:p>
            <w:pPr>
              <w:ind w:left="1660"/>
              <w:spacing w:after="0"/>
              <w:rPr>
                <w:sz w:val="20"/>
                <w:szCs w:val="20"/>
                <w:color w:val="auto"/>
              </w:rPr>
            </w:pPr>
            <w:r>
              <w:rPr>
                <w:rFonts w:ascii="Arial" w:cs="Arial" w:eastAsia="Arial" w:hAnsi="Arial"/>
                <w:sz w:val="16"/>
                <w:szCs w:val="16"/>
                <w:b w:val="1"/>
                <w:bCs w:val="1"/>
                <w:color w:val="auto"/>
              </w:rPr>
              <w:t>Description of Exhibit</w:t>
            </w:r>
          </w:p>
        </w:tc>
        <w:tc>
          <w:tcPr>
            <w:tcW w:w="700" w:type="dxa"/>
            <w:vAlign w:val="bottom"/>
          </w:tcPr>
          <w:p>
            <w:pPr>
              <w:ind w:left="120"/>
              <w:spacing w:after="0"/>
              <w:rPr>
                <w:sz w:val="20"/>
                <w:szCs w:val="20"/>
                <w:color w:val="auto"/>
              </w:rPr>
            </w:pPr>
            <w:r>
              <w:rPr>
                <w:rFonts w:ascii="Arial" w:cs="Arial" w:eastAsia="Arial" w:hAnsi="Arial"/>
                <w:sz w:val="16"/>
                <w:szCs w:val="16"/>
                <w:b w:val="1"/>
                <w:bCs w:val="1"/>
                <w:color w:val="auto"/>
              </w:rPr>
              <w:t>Form</w:t>
            </w:r>
          </w:p>
        </w:tc>
        <w:tc>
          <w:tcPr>
            <w:tcW w:w="1020" w:type="dxa"/>
            <w:vAlign w:val="bottom"/>
          </w:tcPr>
          <w:p>
            <w:pPr>
              <w:ind w:left="200"/>
              <w:spacing w:after="0"/>
              <w:rPr>
                <w:sz w:val="20"/>
                <w:szCs w:val="20"/>
                <w:color w:val="auto"/>
              </w:rPr>
            </w:pPr>
            <w:r>
              <w:rPr>
                <w:rFonts w:ascii="Arial" w:cs="Arial" w:eastAsia="Arial" w:hAnsi="Arial"/>
                <w:sz w:val="16"/>
                <w:szCs w:val="16"/>
                <w:b w:val="1"/>
                <w:bCs w:val="1"/>
                <w:color w:val="auto"/>
              </w:rPr>
              <w:t>File No.</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Exhibit</w:t>
            </w:r>
          </w:p>
        </w:tc>
        <w:tc>
          <w:tcPr>
            <w:tcW w:w="1660" w:type="dxa"/>
            <w:vAlign w:val="bottom"/>
          </w:tcPr>
          <w:p>
            <w:pPr>
              <w:ind w:left="60"/>
              <w:spacing w:after="0"/>
              <w:rPr>
                <w:sz w:val="20"/>
                <w:szCs w:val="20"/>
                <w:color w:val="auto"/>
              </w:rPr>
            </w:pPr>
            <w:r>
              <w:rPr>
                <w:rFonts w:ascii="Arial" w:cs="Arial" w:eastAsia="Arial" w:hAnsi="Arial"/>
                <w:sz w:val="16"/>
                <w:szCs w:val="16"/>
                <w:b w:val="1"/>
                <w:bCs w:val="1"/>
                <w:color w:val="auto"/>
                <w:w w:val="99"/>
              </w:rPr>
              <w:t>Filing Date  Herewith</w:t>
            </w:r>
          </w:p>
        </w:tc>
      </w:tr>
      <w:tr>
        <w:trPr>
          <w:trHeight w:val="368"/>
        </w:trPr>
        <w:tc>
          <w:tcPr>
            <w:tcW w:w="1000" w:type="dxa"/>
            <w:vAlign w:val="bottom"/>
          </w:tcPr>
          <w:p>
            <w:pPr>
              <w:spacing w:after="0"/>
              <w:rPr>
                <w:sz w:val="20"/>
                <w:szCs w:val="20"/>
                <w:color w:val="auto"/>
              </w:rPr>
            </w:pPr>
            <w:r>
              <w:rPr>
                <w:rFonts w:ascii="Arial" w:cs="Arial" w:eastAsia="Arial" w:hAnsi="Arial"/>
                <w:sz w:val="20"/>
                <w:szCs w:val="20"/>
                <w:b w:val="1"/>
                <w:bCs w:val="1"/>
                <w:color w:val="auto"/>
              </w:rPr>
              <w:t>31.1</w:t>
            </w: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rPr>
              <w:t>Certification of Principal Executive Officer and</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28"/>
        </w:trPr>
        <w:tc>
          <w:tcPr>
            <w:tcW w:w="1000" w:type="dxa"/>
            <w:vAlign w:val="bottom"/>
          </w:tcPr>
          <w:p>
            <w:pPr>
              <w:spacing w:after="0"/>
              <w:rPr>
                <w:sz w:val="19"/>
                <w:szCs w:val="19"/>
                <w:color w:val="auto"/>
              </w:rPr>
            </w:pPr>
          </w:p>
        </w:tc>
        <w:tc>
          <w:tcPr>
            <w:tcW w:w="4700" w:type="dxa"/>
            <w:vAlign w:val="bottom"/>
          </w:tcPr>
          <w:p>
            <w:pPr>
              <w:ind w:left="160"/>
              <w:spacing w:after="0" w:line="228" w:lineRule="exact"/>
              <w:rPr>
                <w:sz w:val="20"/>
                <w:szCs w:val="20"/>
                <w:color w:val="auto"/>
              </w:rPr>
            </w:pPr>
            <w:r>
              <w:rPr>
                <w:rFonts w:ascii="Arial" w:cs="Arial" w:eastAsia="Arial" w:hAnsi="Arial"/>
                <w:sz w:val="20"/>
                <w:szCs w:val="20"/>
                <w:b w:val="1"/>
                <w:bCs w:val="1"/>
                <w:color w:val="auto"/>
                <w:w w:val="87"/>
              </w:rPr>
              <w:t>Principal Financial Officer Pursuant to Rules 13a-14(a)</w:t>
            </w: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w w:val="92"/>
              </w:rPr>
              <w:t>and 15d-14(a) under the Securities Exchange Act of</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30"/>
        </w:trPr>
        <w:tc>
          <w:tcPr>
            <w:tcW w:w="100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w w:val="98"/>
              </w:rPr>
              <w:t>1934, as Adopted Pursuant to Section 302 of the</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30"/>
        </w:trPr>
        <w:tc>
          <w:tcPr>
            <w:tcW w:w="100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rPr>
              <w:t>Sarbanes-Oxley Act of 2002.</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tcPr>
          <w:p>
            <w:pPr>
              <w:ind w:left="1520"/>
              <w:spacing w:after="0"/>
              <w:rPr>
                <w:sz w:val="20"/>
                <w:szCs w:val="20"/>
                <w:color w:val="auto"/>
              </w:rPr>
            </w:pPr>
            <w:r>
              <w:rPr>
                <w:rFonts w:ascii="Arial" w:cs="Arial" w:eastAsia="Arial" w:hAnsi="Arial"/>
                <w:sz w:val="20"/>
                <w:szCs w:val="20"/>
                <w:b w:val="1"/>
                <w:bCs w:val="1"/>
                <w:color w:val="auto"/>
                <w:w w:val="89"/>
              </w:rPr>
              <w:t>X</w:t>
            </w:r>
          </w:p>
        </w:tc>
      </w:tr>
      <w:tr>
        <w:trPr>
          <w:trHeight w:val="367"/>
        </w:trPr>
        <w:tc>
          <w:tcPr>
            <w:tcW w:w="1000" w:type="dxa"/>
            <w:vAlign w:val="bottom"/>
          </w:tcPr>
          <w:p>
            <w:pPr>
              <w:spacing w:after="0"/>
              <w:rPr>
                <w:sz w:val="20"/>
                <w:szCs w:val="20"/>
                <w:color w:val="auto"/>
              </w:rPr>
            </w:pPr>
            <w:r>
              <w:rPr>
                <w:rFonts w:ascii="Arial" w:cs="Arial" w:eastAsia="Arial" w:hAnsi="Arial"/>
                <w:sz w:val="20"/>
                <w:szCs w:val="20"/>
                <w:b w:val="1"/>
                <w:bCs w:val="1"/>
                <w:color w:val="auto"/>
              </w:rPr>
              <w:t>32.1*</w:t>
            </w: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rPr>
              <w:t>Certification of Principal Executive Officer and</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w w:val="99"/>
              </w:rPr>
              <w:t>Principal Financial Officer Pursuant to 18 U.S.C.</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30"/>
        </w:trPr>
        <w:tc>
          <w:tcPr>
            <w:tcW w:w="100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w w:val="90"/>
              </w:rPr>
              <w:t>Section 1350, as Adopted Pursuant to Section 906 of</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30"/>
        </w:trPr>
        <w:tc>
          <w:tcPr>
            <w:tcW w:w="100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rPr>
              <w:t>the Sarbanes-Oxley Act of 2002.</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tcPr>
          <w:p>
            <w:pPr>
              <w:ind w:left="1520"/>
              <w:spacing w:after="0"/>
              <w:rPr>
                <w:sz w:val="20"/>
                <w:szCs w:val="20"/>
                <w:color w:val="auto"/>
              </w:rPr>
            </w:pPr>
            <w:r>
              <w:rPr>
                <w:rFonts w:ascii="Arial" w:cs="Arial" w:eastAsia="Arial" w:hAnsi="Arial"/>
                <w:sz w:val="20"/>
                <w:szCs w:val="20"/>
                <w:b w:val="1"/>
                <w:bCs w:val="1"/>
                <w:color w:val="auto"/>
                <w:w w:val="89"/>
              </w:rPr>
              <w:t>X</w:t>
            </w:r>
          </w:p>
        </w:tc>
      </w:tr>
      <w:tr>
        <w:trPr>
          <w:trHeight w:val="368"/>
        </w:trPr>
        <w:tc>
          <w:tcPr>
            <w:tcW w:w="1000" w:type="dxa"/>
            <w:vAlign w:val="bottom"/>
          </w:tcPr>
          <w:p>
            <w:pPr>
              <w:spacing w:after="0"/>
              <w:rPr>
                <w:sz w:val="20"/>
                <w:szCs w:val="20"/>
                <w:color w:val="auto"/>
              </w:rPr>
            </w:pPr>
            <w:r>
              <w:rPr>
                <w:rFonts w:ascii="Arial" w:cs="Arial" w:eastAsia="Arial" w:hAnsi="Arial"/>
                <w:sz w:val="20"/>
                <w:szCs w:val="20"/>
                <w:b w:val="1"/>
                <w:bCs w:val="1"/>
                <w:color w:val="auto"/>
              </w:rPr>
              <w:t>97.1+</w:t>
            </w: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rPr>
              <w:t>Incentive Compensation Recoupment Policy.</w:t>
            </w:r>
          </w:p>
        </w:tc>
        <w:tc>
          <w:tcPr>
            <w:tcW w:w="700" w:type="dxa"/>
            <w:vAlign w:val="bottom"/>
          </w:tcPr>
          <w:p>
            <w:pPr>
              <w:ind w:left="60"/>
              <w:spacing w:after="0"/>
              <w:rPr>
                <w:sz w:val="20"/>
                <w:szCs w:val="20"/>
                <w:color w:val="auto"/>
              </w:rPr>
            </w:pPr>
            <w:r>
              <w:rPr>
                <w:rFonts w:ascii="Arial" w:cs="Arial" w:eastAsia="Arial" w:hAnsi="Arial"/>
                <w:sz w:val="18"/>
                <w:szCs w:val="18"/>
                <w:b w:val="1"/>
                <w:bCs w:val="1"/>
                <w:color w:val="414141"/>
              </w:rPr>
              <w:t>10-K</w:t>
            </w:r>
          </w:p>
        </w:tc>
        <w:tc>
          <w:tcPr>
            <w:tcW w:w="1020" w:type="dxa"/>
            <w:vAlign w:val="bottom"/>
          </w:tcPr>
          <w:p>
            <w:pPr>
              <w:ind w:left="180"/>
              <w:spacing w:after="0"/>
              <w:rPr>
                <w:sz w:val="20"/>
                <w:szCs w:val="20"/>
                <w:color w:val="auto"/>
              </w:rPr>
            </w:pPr>
            <w:r>
              <w:rPr>
                <w:rFonts w:ascii="Arial" w:cs="Arial" w:eastAsia="Arial" w:hAnsi="Arial"/>
                <w:sz w:val="18"/>
                <w:szCs w:val="18"/>
                <w:b w:val="1"/>
                <w:bCs w:val="1"/>
                <w:color w:val="414141"/>
                <w:w w:val="95"/>
              </w:rPr>
              <w:t>001-39988</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97.1</w:t>
            </w:r>
          </w:p>
        </w:tc>
        <w:tc>
          <w:tcPr>
            <w:tcW w:w="1660" w:type="dxa"/>
            <w:vAlign w:val="bottom"/>
          </w:tcPr>
          <w:p>
            <w:pPr>
              <w:ind w:left="120"/>
              <w:spacing w:after="0"/>
              <w:rPr>
                <w:sz w:val="20"/>
                <w:szCs w:val="20"/>
                <w:color w:val="auto"/>
              </w:rPr>
            </w:pPr>
            <w:r>
              <w:rPr>
                <w:rFonts w:ascii="Arial" w:cs="Arial" w:eastAsia="Arial" w:hAnsi="Arial"/>
                <w:sz w:val="18"/>
                <w:szCs w:val="18"/>
                <w:b w:val="1"/>
                <w:bCs w:val="1"/>
                <w:color w:val="auto"/>
              </w:rPr>
              <w:t>3/21/2024</w:t>
            </w:r>
          </w:p>
        </w:tc>
      </w:tr>
      <w:tr>
        <w:trPr>
          <w:trHeight w:val="366"/>
        </w:trPr>
        <w:tc>
          <w:tcPr>
            <w:tcW w:w="1000" w:type="dxa"/>
            <w:vAlign w:val="bottom"/>
          </w:tcPr>
          <w:p>
            <w:pPr>
              <w:spacing w:after="0"/>
              <w:rPr>
                <w:sz w:val="20"/>
                <w:szCs w:val="20"/>
                <w:color w:val="auto"/>
              </w:rPr>
            </w:pPr>
            <w:r>
              <w:rPr>
                <w:rFonts w:ascii="Arial" w:cs="Arial" w:eastAsia="Arial" w:hAnsi="Arial"/>
                <w:sz w:val="20"/>
                <w:szCs w:val="20"/>
                <w:b w:val="1"/>
                <w:bCs w:val="1"/>
                <w:color w:val="auto"/>
              </w:rPr>
              <w:t>101.INS</w:t>
            </w: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rPr>
              <w:t>Inline XBRL Instance Document - the instance</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w w:val="88"/>
              </w:rPr>
              <w:t>document does not appear in the Interactive Data File</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30"/>
        </w:trPr>
        <w:tc>
          <w:tcPr>
            <w:tcW w:w="100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w w:val="88"/>
              </w:rPr>
              <w:t>because its XBRL tags are embedded within the Inline</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30"/>
        </w:trPr>
        <w:tc>
          <w:tcPr>
            <w:tcW w:w="100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rPr>
              <w:t>XBRL document</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tcPr>
          <w:p>
            <w:pPr>
              <w:ind w:left="1520"/>
              <w:spacing w:after="0"/>
              <w:rPr>
                <w:sz w:val="20"/>
                <w:szCs w:val="20"/>
                <w:color w:val="auto"/>
              </w:rPr>
            </w:pPr>
            <w:r>
              <w:rPr>
                <w:rFonts w:ascii="Arial" w:cs="Arial" w:eastAsia="Arial" w:hAnsi="Arial"/>
                <w:sz w:val="20"/>
                <w:szCs w:val="20"/>
                <w:b w:val="1"/>
                <w:bCs w:val="1"/>
                <w:color w:val="auto"/>
                <w:w w:val="89"/>
              </w:rPr>
              <w:t>X</w:t>
            </w:r>
          </w:p>
        </w:tc>
      </w:tr>
      <w:tr>
        <w:trPr>
          <w:trHeight w:val="367"/>
        </w:trPr>
        <w:tc>
          <w:tcPr>
            <w:tcW w:w="1000" w:type="dxa"/>
            <w:vAlign w:val="bottom"/>
          </w:tcPr>
          <w:p>
            <w:pPr>
              <w:spacing w:after="0"/>
              <w:rPr>
                <w:sz w:val="20"/>
                <w:szCs w:val="20"/>
                <w:color w:val="auto"/>
              </w:rPr>
            </w:pPr>
            <w:r>
              <w:rPr>
                <w:rFonts w:ascii="Arial" w:cs="Arial" w:eastAsia="Arial" w:hAnsi="Arial"/>
                <w:sz w:val="20"/>
                <w:szCs w:val="20"/>
                <w:b w:val="1"/>
                <w:bCs w:val="1"/>
                <w:color w:val="auto"/>
              </w:rPr>
              <w:t>101.SCH</w:t>
            </w: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w w:val="89"/>
              </w:rPr>
              <w:t>Inline XBRL Taxonomy Extension Schema Document</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ind w:left="1520"/>
              <w:spacing w:after="0"/>
              <w:rPr>
                <w:sz w:val="20"/>
                <w:szCs w:val="20"/>
                <w:color w:val="auto"/>
              </w:rPr>
            </w:pPr>
            <w:r>
              <w:rPr>
                <w:rFonts w:ascii="Arial" w:cs="Arial" w:eastAsia="Arial" w:hAnsi="Arial"/>
                <w:sz w:val="20"/>
                <w:szCs w:val="20"/>
                <w:b w:val="1"/>
                <w:bCs w:val="1"/>
                <w:color w:val="auto"/>
                <w:w w:val="89"/>
              </w:rPr>
              <w:t>X</w:t>
            </w:r>
          </w:p>
        </w:tc>
      </w:tr>
      <w:tr>
        <w:trPr>
          <w:trHeight w:val="370"/>
        </w:trPr>
        <w:tc>
          <w:tcPr>
            <w:tcW w:w="1000" w:type="dxa"/>
            <w:vAlign w:val="bottom"/>
          </w:tcPr>
          <w:p>
            <w:pPr>
              <w:spacing w:after="0"/>
              <w:rPr>
                <w:sz w:val="20"/>
                <w:szCs w:val="20"/>
                <w:color w:val="auto"/>
              </w:rPr>
            </w:pPr>
            <w:r>
              <w:rPr>
                <w:rFonts w:ascii="Arial" w:cs="Arial" w:eastAsia="Arial" w:hAnsi="Arial"/>
                <w:sz w:val="20"/>
                <w:szCs w:val="20"/>
                <w:b w:val="1"/>
                <w:bCs w:val="1"/>
                <w:color w:val="auto"/>
              </w:rPr>
              <w:t>101.CAL</w:t>
            </w: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rPr>
              <w:t>Inline XBRL Taxonomy Extension Calculation</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28"/>
        </w:trPr>
        <w:tc>
          <w:tcPr>
            <w:tcW w:w="1000" w:type="dxa"/>
            <w:vAlign w:val="bottom"/>
          </w:tcPr>
          <w:p>
            <w:pPr>
              <w:spacing w:after="0"/>
              <w:rPr>
                <w:sz w:val="19"/>
                <w:szCs w:val="19"/>
                <w:color w:val="auto"/>
              </w:rPr>
            </w:pPr>
          </w:p>
        </w:tc>
        <w:tc>
          <w:tcPr>
            <w:tcW w:w="4700" w:type="dxa"/>
            <w:vAlign w:val="bottom"/>
          </w:tcPr>
          <w:p>
            <w:pPr>
              <w:ind w:left="160"/>
              <w:spacing w:after="0" w:line="229" w:lineRule="exact"/>
              <w:rPr>
                <w:sz w:val="20"/>
                <w:szCs w:val="20"/>
                <w:color w:val="auto"/>
              </w:rPr>
            </w:pPr>
            <w:r>
              <w:rPr>
                <w:rFonts w:ascii="Arial" w:cs="Arial" w:eastAsia="Arial" w:hAnsi="Arial"/>
                <w:sz w:val="20"/>
                <w:szCs w:val="20"/>
                <w:b w:val="1"/>
                <w:bCs w:val="1"/>
                <w:color w:val="auto"/>
              </w:rPr>
              <w:t>Linkbase Document</w:t>
            </w: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60" w:type="dxa"/>
            <w:vAlign w:val="bottom"/>
          </w:tcPr>
          <w:p>
            <w:pPr>
              <w:ind w:left="1520"/>
              <w:spacing w:after="0" w:line="229" w:lineRule="exact"/>
              <w:rPr>
                <w:sz w:val="20"/>
                <w:szCs w:val="20"/>
                <w:color w:val="auto"/>
              </w:rPr>
            </w:pPr>
            <w:r>
              <w:rPr>
                <w:rFonts w:ascii="Arial" w:cs="Arial" w:eastAsia="Arial" w:hAnsi="Arial"/>
                <w:sz w:val="20"/>
                <w:szCs w:val="20"/>
                <w:b w:val="1"/>
                <w:bCs w:val="1"/>
                <w:color w:val="auto"/>
                <w:w w:val="89"/>
              </w:rPr>
              <w:t>X</w:t>
            </w:r>
          </w:p>
        </w:tc>
      </w:tr>
      <w:tr>
        <w:trPr>
          <w:trHeight w:val="369"/>
        </w:trPr>
        <w:tc>
          <w:tcPr>
            <w:tcW w:w="1000" w:type="dxa"/>
            <w:vAlign w:val="bottom"/>
          </w:tcPr>
          <w:p>
            <w:pPr>
              <w:spacing w:after="0"/>
              <w:rPr>
                <w:sz w:val="20"/>
                <w:szCs w:val="20"/>
                <w:color w:val="auto"/>
              </w:rPr>
            </w:pPr>
            <w:r>
              <w:rPr>
                <w:rFonts w:ascii="Arial" w:cs="Arial" w:eastAsia="Arial" w:hAnsi="Arial"/>
                <w:sz w:val="20"/>
                <w:szCs w:val="20"/>
                <w:b w:val="1"/>
                <w:bCs w:val="1"/>
                <w:color w:val="auto"/>
              </w:rPr>
              <w:t>101.DEF</w:t>
            </w: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w w:val="88"/>
              </w:rPr>
              <w:t>Inline XBRL Taxonomy Extension Definition Linkbase</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rPr>
              <w:t>Document</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tcPr>
          <w:p>
            <w:pPr>
              <w:ind w:left="1520"/>
              <w:spacing w:after="0"/>
              <w:rPr>
                <w:sz w:val="20"/>
                <w:szCs w:val="20"/>
                <w:color w:val="auto"/>
              </w:rPr>
            </w:pPr>
            <w:r>
              <w:rPr>
                <w:rFonts w:ascii="Arial" w:cs="Arial" w:eastAsia="Arial" w:hAnsi="Arial"/>
                <w:sz w:val="20"/>
                <w:szCs w:val="20"/>
                <w:b w:val="1"/>
                <w:bCs w:val="1"/>
                <w:color w:val="auto"/>
                <w:w w:val="89"/>
              </w:rPr>
              <w:t>X</w:t>
            </w:r>
          </w:p>
        </w:tc>
      </w:tr>
      <w:tr>
        <w:trPr>
          <w:trHeight w:val="367"/>
        </w:trPr>
        <w:tc>
          <w:tcPr>
            <w:tcW w:w="1000" w:type="dxa"/>
            <w:vAlign w:val="bottom"/>
          </w:tcPr>
          <w:p>
            <w:pPr>
              <w:spacing w:after="0"/>
              <w:rPr>
                <w:sz w:val="20"/>
                <w:szCs w:val="20"/>
                <w:color w:val="auto"/>
              </w:rPr>
            </w:pPr>
            <w:r>
              <w:rPr>
                <w:rFonts w:ascii="Arial" w:cs="Arial" w:eastAsia="Arial" w:hAnsi="Arial"/>
                <w:sz w:val="20"/>
                <w:szCs w:val="20"/>
                <w:b w:val="1"/>
                <w:bCs w:val="1"/>
                <w:color w:val="auto"/>
              </w:rPr>
              <w:t>101.LAB</w:t>
            </w: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w w:val="96"/>
              </w:rPr>
              <w:t>Inline XBRL Taxonomy Extension Label Linkbase</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rPr>
              <w:t>Document</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tcPr>
          <w:p>
            <w:pPr>
              <w:ind w:left="1520"/>
              <w:spacing w:after="0"/>
              <w:rPr>
                <w:sz w:val="20"/>
                <w:szCs w:val="20"/>
                <w:color w:val="auto"/>
              </w:rPr>
            </w:pPr>
            <w:r>
              <w:rPr>
                <w:rFonts w:ascii="Arial" w:cs="Arial" w:eastAsia="Arial" w:hAnsi="Arial"/>
                <w:sz w:val="20"/>
                <w:szCs w:val="20"/>
                <w:b w:val="1"/>
                <w:bCs w:val="1"/>
                <w:color w:val="auto"/>
                <w:w w:val="89"/>
              </w:rPr>
              <w:t>X</w:t>
            </w:r>
          </w:p>
        </w:tc>
      </w:tr>
      <w:tr>
        <w:trPr>
          <w:trHeight w:val="367"/>
        </w:trPr>
        <w:tc>
          <w:tcPr>
            <w:tcW w:w="1000" w:type="dxa"/>
            <w:vAlign w:val="bottom"/>
          </w:tcPr>
          <w:p>
            <w:pPr>
              <w:spacing w:after="0"/>
              <w:rPr>
                <w:sz w:val="20"/>
                <w:szCs w:val="20"/>
                <w:color w:val="auto"/>
              </w:rPr>
            </w:pPr>
            <w:r>
              <w:rPr>
                <w:rFonts w:ascii="Arial" w:cs="Arial" w:eastAsia="Arial" w:hAnsi="Arial"/>
                <w:sz w:val="20"/>
                <w:szCs w:val="20"/>
                <w:b w:val="1"/>
                <w:bCs w:val="1"/>
                <w:color w:val="auto"/>
              </w:rPr>
              <w:t>101.PRE</w:t>
            </w: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rPr>
              <w:t>Inline XBRL Taxonomy Extension Presentation</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rPr>
              <w:t>Linkbase Document</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tcPr>
          <w:p>
            <w:pPr>
              <w:ind w:left="1520"/>
              <w:spacing w:after="0"/>
              <w:rPr>
                <w:sz w:val="20"/>
                <w:szCs w:val="20"/>
                <w:color w:val="auto"/>
              </w:rPr>
            </w:pPr>
            <w:r>
              <w:rPr>
                <w:rFonts w:ascii="Arial" w:cs="Arial" w:eastAsia="Arial" w:hAnsi="Arial"/>
                <w:sz w:val="20"/>
                <w:szCs w:val="20"/>
                <w:b w:val="1"/>
                <w:bCs w:val="1"/>
                <w:color w:val="auto"/>
                <w:w w:val="89"/>
              </w:rPr>
              <w:t>X</w:t>
            </w:r>
          </w:p>
        </w:tc>
      </w:tr>
      <w:tr>
        <w:trPr>
          <w:trHeight w:val="367"/>
        </w:trPr>
        <w:tc>
          <w:tcPr>
            <w:tcW w:w="1000" w:type="dxa"/>
            <w:vAlign w:val="bottom"/>
          </w:tcPr>
          <w:p>
            <w:pPr>
              <w:spacing w:after="0"/>
              <w:rPr>
                <w:sz w:val="20"/>
                <w:szCs w:val="20"/>
                <w:color w:val="auto"/>
              </w:rPr>
            </w:pPr>
            <w:r>
              <w:rPr>
                <w:rFonts w:ascii="Arial" w:cs="Arial" w:eastAsia="Arial" w:hAnsi="Arial"/>
                <w:sz w:val="20"/>
                <w:szCs w:val="20"/>
                <w:b w:val="1"/>
                <w:bCs w:val="1"/>
                <w:color w:val="auto"/>
              </w:rPr>
              <w:t>104</w:t>
            </w: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w w:val="91"/>
              </w:rPr>
              <w:t>Cover Page Interactive Data File (formatted as inline</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20"/>
                <w:szCs w:val="20"/>
                <w:b w:val="1"/>
                <w:bCs w:val="1"/>
                <w:color w:val="auto"/>
              </w:rPr>
              <w:t>XBRL and contained in Exhibit 101)</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tcPr>
          <w:p>
            <w:pPr>
              <w:ind w:left="1520"/>
              <w:spacing w:after="0"/>
              <w:rPr>
                <w:sz w:val="20"/>
                <w:szCs w:val="20"/>
                <w:color w:val="auto"/>
              </w:rPr>
            </w:pPr>
            <w:r>
              <w:rPr>
                <w:rFonts w:ascii="Arial" w:cs="Arial" w:eastAsia="Arial" w:hAnsi="Arial"/>
                <w:sz w:val="20"/>
                <w:szCs w:val="20"/>
                <w:b w:val="1"/>
                <w:bCs w:val="1"/>
                <w:color w:val="auto"/>
                <w:w w:val="89"/>
              </w:rPr>
              <w:t>X</w:t>
            </w:r>
          </w:p>
        </w:tc>
      </w:tr>
    </w:tbl>
    <w:p>
      <w:pPr>
        <w:ind w:left="200" w:hanging="198"/>
        <w:spacing w:after="0" w:line="221" w:lineRule="auto"/>
        <w:tabs>
          <w:tab w:leader="none" w:pos="200" w:val="left"/>
        </w:tabs>
        <w:numPr>
          <w:ilvl w:val="0"/>
          <w:numId w:val="48"/>
        </w:numPr>
        <w:rPr>
          <w:rFonts w:ascii="Arial" w:cs="Arial" w:eastAsia="Arial" w:hAnsi="Arial"/>
          <w:sz w:val="24"/>
          <w:szCs w:val="24"/>
          <w:b w:val="1"/>
          <w:bCs w:val="1"/>
          <w:color w:val="auto"/>
        </w:rPr>
      </w:pPr>
      <w:r>
        <w:rPr>
          <w:rFonts w:ascii="Arial" w:cs="Arial" w:eastAsia="Arial" w:hAnsi="Arial"/>
          <w:sz w:val="20"/>
          <w:szCs w:val="20"/>
          <w:b w:val="1"/>
          <w:bCs w:val="1"/>
          <w:color w:val="auto"/>
        </w:rPr>
        <w:t>Indicates a management contract or compensatory plan, contract or arrangement.</w:t>
      </w:r>
    </w:p>
    <w:p>
      <w:pPr>
        <w:spacing w:after="0" w:line="57" w:lineRule="exact"/>
        <w:rPr>
          <w:sz w:val="20"/>
          <w:szCs w:val="20"/>
          <w:color w:val="auto"/>
        </w:rPr>
      </w:pPr>
    </w:p>
    <w:p>
      <w:pPr>
        <w:ind w:left="200" w:right="480" w:hanging="198"/>
        <w:spacing w:after="0" w:line="233" w:lineRule="auto"/>
        <w:tabs>
          <w:tab w:leader="none" w:pos="200" w:val="left"/>
        </w:tabs>
        <w:numPr>
          <w:ilvl w:val="0"/>
          <w:numId w:val="49"/>
        </w:numPr>
        <w:rPr>
          <w:rFonts w:ascii="Arial" w:cs="Arial" w:eastAsia="Arial" w:hAnsi="Arial"/>
          <w:sz w:val="22"/>
          <w:szCs w:val="22"/>
          <w:b w:val="1"/>
          <w:bCs w:val="1"/>
          <w:color w:val="auto"/>
        </w:rPr>
      </w:pPr>
      <w:r>
        <w:rPr>
          <w:rFonts w:ascii="Arial" w:cs="Arial" w:eastAsia="Arial" w:hAnsi="Arial"/>
          <w:sz w:val="18"/>
          <w:szCs w:val="18"/>
          <w:b w:val="1"/>
          <w:bCs w:val="1"/>
          <w:color w:val="auto"/>
        </w:rPr>
        <w:t>Portions of this exhibit have been omitted as the Registrant has determined that the omitted information (i) is not material and (ii) would likely cause competitive harm to the Registrant if publicly disclosed.</w:t>
      </w:r>
    </w:p>
    <w:p>
      <w:pPr>
        <w:spacing w:after="0" w:line="12" w:lineRule="exact"/>
        <w:rPr>
          <w:sz w:val="20"/>
          <w:szCs w:val="20"/>
          <w:color w:val="auto"/>
        </w:rPr>
      </w:pPr>
    </w:p>
    <w:p>
      <w:pPr>
        <w:ind w:left="200" w:right="160" w:hanging="198"/>
        <w:spacing w:after="0" w:line="256" w:lineRule="auto"/>
        <w:tabs>
          <w:tab w:leader="none" w:pos="200" w:val="left"/>
        </w:tabs>
        <w:numPr>
          <w:ilvl w:val="0"/>
          <w:numId w:val="50"/>
        </w:numPr>
        <w:rPr>
          <w:rFonts w:ascii="Arial" w:cs="Arial" w:eastAsia="Arial" w:hAnsi="Arial"/>
          <w:sz w:val="22"/>
          <w:szCs w:val="22"/>
          <w:b w:val="1"/>
          <w:bCs w:val="1"/>
          <w:color w:val="auto"/>
        </w:rPr>
      </w:pPr>
      <w:r>
        <w:rPr>
          <w:rFonts w:ascii="Arial" w:cs="Arial" w:eastAsia="Arial" w:hAnsi="Arial"/>
          <w:sz w:val="18"/>
          <w:szCs w:val="18"/>
          <w:b w:val="1"/>
          <w:bCs w:val="1"/>
          <w:color w:val="auto"/>
        </w:rPr>
        <w:t>The certifications attached as Exhibit 32.1 and Exhibit 32.2 that accompany this Annual Report on Form 10-K, are deemed furnished and not filed with the Securities and Exchange Commission and are not to be incorporated by reference into any filing of Bolt Biotherapeutics,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w:t>
      </w:r>
    </w:p>
    <w:p>
      <w:pPr>
        <w:sectPr>
          <w:pgSz w:w="12240" w:h="15840" w:orient="portrait"/>
          <w:cols w:equalWidth="0" w:num="1">
            <w:col w:w="9700"/>
          </w:cols>
          <w:pgMar w:left="1260" w:top="1078" w:right="12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116</w:t>
      </w:r>
    </w:p>
    <w:p>
      <w:pPr>
        <w:sectPr>
          <w:pgSz w:w="12240" w:h="15840" w:orient="portrait"/>
          <w:cols w:equalWidth="0" w:num="1">
            <w:col w:w="9700"/>
          </w:cols>
          <w:pgMar w:left="1260" w:top="1078" w:right="1280" w:bottom="181" w:gutter="0" w:footer="0" w:header="0"/>
          <w:type w:val="continuous"/>
        </w:sectPr>
      </w:pPr>
    </w:p>
    <w:bookmarkStart w:id="156" w:name="page157"/>
    <w:bookmarkEnd w:id="156"/>
    <w:p>
      <w:pPr>
        <w:jc w:val="center"/>
        <w:ind w:right="-79"/>
        <w:spacing w:after="0"/>
        <w:rPr>
          <w:sz w:val="20"/>
          <w:szCs w:val="20"/>
          <w:color w:val="auto"/>
        </w:rPr>
      </w:pPr>
      <w:r>
        <w:rPr>
          <w:rFonts w:ascii="Arial" w:cs="Arial" w:eastAsia="Arial" w:hAnsi="Arial"/>
          <w:sz w:val="20"/>
          <w:szCs w:val="20"/>
          <w:b w:val="1"/>
          <w:bCs w:val="1"/>
          <w:color w:val="auto"/>
        </w:rPr>
        <w:t>SIGNATURES</w:t>
      </w:r>
    </w:p>
    <w:p>
      <w:pPr>
        <w:spacing w:after="0" w:line="251"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99" w:lineRule="exact"/>
        <w:rPr>
          <w:sz w:val="20"/>
          <w:szCs w:val="20"/>
          <w:color w:val="auto"/>
        </w:rPr>
      </w:pPr>
    </w:p>
    <w:p>
      <w:pPr>
        <w:spacing w:after="0"/>
        <w:tabs>
          <w:tab w:leader="none" w:pos="4300" w:val="left"/>
        </w:tabs>
        <w:rPr>
          <w:sz w:val="20"/>
          <w:szCs w:val="20"/>
          <w:color w:val="auto"/>
        </w:rPr>
      </w:pPr>
      <w:r>
        <w:rPr>
          <w:rFonts w:ascii="Arial" w:cs="Arial" w:eastAsia="Arial" w:hAnsi="Arial"/>
          <w:sz w:val="20"/>
          <w:szCs w:val="20"/>
          <w:b w:val="1"/>
          <w:bCs w:val="1"/>
          <w:color w:val="auto"/>
        </w:rPr>
        <w:t>Date: March 12, 2026</w:t>
      </w:r>
      <w:r>
        <w:rPr>
          <w:sz w:val="20"/>
          <w:szCs w:val="20"/>
          <w:color w:val="auto"/>
        </w:rPr>
        <w:tab/>
      </w:r>
      <w:r>
        <w:rPr>
          <w:rFonts w:ascii="Arial" w:cs="Arial" w:eastAsia="Arial" w:hAnsi="Arial"/>
          <w:sz w:val="19"/>
          <w:szCs w:val="19"/>
          <w:b w:val="1"/>
          <w:bCs w:val="1"/>
          <w:color w:val="auto"/>
        </w:rPr>
        <w:t>BOLT BIOTHERAPEUTICS, INC.</w:t>
      </w:r>
    </w:p>
    <w:p>
      <w:pPr>
        <w:spacing w:after="0" w:line="245" w:lineRule="exact"/>
        <w:rPr>
          <w:sz w:val="20"/>
          <w:szCs w:val="20"/>
          <w:color w:val="auto"/>
        </w:rPr>
      </w:pPr>
    </w:p>
    <w:p>
      <w:pPr>
        <w:ind w:left="4320"/>
        <w:spacing w:after="0"/>
        <w:tabs>
          <w:tab w:leader="none" w:pos="4780" w:val="left"/>
        </w:tabs>
        <w:rPr>
          <w:sz w:val="20"/>
          <w:szCs w:val="20"/>
          <w:color w:val="auto"/>
        </w:rPr>
      </w:pPr>
      <w:r>
        <w:rPr>
          <w:rFonts w:ascii="Arial" w:cs="Arial" w:eastAsia="Arial" w:hAnsi="Arial"/>
          <w:sz w:val="20"/>
          <w:szCs w:val="20"/>
          <w:b w:val="1"/>
          <w:bCs w:val="1"/>
          <w:color w:val="auto"/>
        </w:rPr>
        <w:t>By:</w:t>
      </w:r>
      <w:r>
        <w:rPr>
          <w:sz w:val="20"/>
          <w:szCs w:val="20"/>
          <w:color w:val="auto"/>
        </w:rPr>
        <w:tab/>
      </w:r>
      <w:r>
        <w:rPr>
          <w:rFonts w:ascii="Arial" w:cs="Arial" w:eastAsia="Arial" w:hAnsi="Arial"/>
          <w:sz w:val="17"/>
          <w:szCs w:val="17"/>
          <w:b w:val="1"/>
          <w:bCs w:val="1"/>
          <w:color w:val="auto"/>
        </w:rPr>
        <w:t>/s/ William P.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18415</wp:posOffset>
            </wp:positionV>
            <wp:extent cx="3180715" cy="4763"/>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180715" cy="4763"/>
                    </a:xfrm>
                    <a:prstGeom prst="rect">
                      <a:avLst/>
                    </a:prstGeom>
                    <a:noFill/>
                  </pic:spPr>
                </pic:pic>
              </a:graphicData>
            </a:graphic>
          </wp:anchor>
        </w:drawing>
      </w:r>
    </w:p>
    <w:p>
      <w:pPr>
        <w:spacing w:after="0" w:line="14" w:lineRule="exact"/>
        <w:rPr>
          <w:sz w:val="20"/>
          <w:szCs w:val="20"/>
          <w:color w:val="auto"/>
        </w:rPr>
      </w:pPr>
    </w:p>
    <w:p>
      <w:pPr>
        <w:ind w:left="4800"/>
        <w:spacing w:after="0"/>
        <w:rPr>
          <w:sz w:val="20"/>
          <w:szCs w:val="20"/>
          <w:color w:val="auto"/>
        </w:rPr>
      </w:pPr>
      <w:r>
        <w:rPr>
          <w:rFonts w:ascii="Arial" w:cs="Arial" w:eastAsia="Arial" w:hAnsi="Arial"/>
          <w:sz w:val="20"/>
          <w:szCs w:val="20"/>
          <w:b w:val="1"/>
          <w:bCs w:val="1"/>
          <w:color w:val="auto"/>
        </w:rPr>
        <w:t>William P. Quinn</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President, Chief Executive Officer and Chief Financial</w:t>
      </w:r>
    </w:p>
    <w:p>
      <w:pPr>
        <w:spacing w:after="0" w:line="13" w:lineRule="exact"/>
        <w:rPr>
          <w:sz w:val="20"/>
          <w:szCs w:val="20"/>
          <w:color w:val="auto"/>
        </w:rPr>
      </w:pPr>
    </w:p>
    <w:p>
      <w:pPr>
        <w:ind w:left="4800"/>
        <w:spacing w:after="0"/>
        <w:rPr>
          <w:sz w:val="20"/>
          <w:szCs w:val="20"/>
          <w:color w:val="auto"/>
        </w:rPr>
      </w:pPr>
      <w:r>
        <w:rPr>
          <w:rFonts w:ascii="Arial" w:cs="Arial" w:eastAsia="Arial" w:hAnsi="Arial"/>
          <w:sz w:val="20"/>
          <w:szCs w:val="20"/>
          <w:b w:val="1"/>
          <w:bCs w:val="1"/>
          <w:color w:val="auto"/>
        </w:rPr>
        <w:t>Officer (Principal Executive and Financial Officer)</w:t>
      </w:r>
    </w:p>
    <w:p>
      <w:pPr>
        <w:spacing w:after="0" w:line="25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color w:val="auto"/>
        </w:rPr>
        <w:t>KNOW ALL PERSONS BY THESE PRESENTS, that each person whose signature appears below constitutes and appoints William P. Quinn and Sarah Nemec as his or her true and lawful attorneys-in-fact and agents, each with full power of substitution and resubstitution, for him or her and in his or her name, place and stead, in any and all capacities, to sign any and all amendments (including post-effective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either of them, or their or his substitutes or substitute, may lawfully do or cause to be done by virtue hereof.</w:t>
      </w:r>
    </w:p>
    <w:p>
      <w:pPr>
        <w:spacing w:after="0" w:line="215" w:lineRule="exact"/>
        <w:rPr>
          <w:sz w:val="20"/>
          <w:szCs w:val="20"/>
          <w:color w:val="auto"/>
        </w:rPr>
      </w:pPr>
    </w:p>
    <w:p>
      <w:pPr>
        <w:spacing w:after="0" w:line="251" w:lineRule="auto"/>
        <w:rPr>
          <w:sz w:val="20"/>
          <w:szCs w:val="20"/>
          <w:color w:val="auto"/>
        </w:rPr>
      </w:pPr>
      <w:r>
        <w:rPr>
          <w:rFonts w:ascii="Arial" w:cs="Arial" w:eastAsia="Arial" w:hAnsi="Arial"/>
          <w:sz w:val="19"/>
          <w:szCs w:val="19"/>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Signature</w:t>
            </w:r>
          </w:p>
        </w:tc>
        <w:tc>
          <w:tcPr>
            <w:tcW w:w="3660" w:type="dxa"/>
            <w:vAlign w:val="bottom"/>
          </w:tcPr>
          <w:p>
            <w:pPr>
              <w:jc w:val="center"/>
              <w:spacing w:after="0"/>
              <w:rPr>
                <w:sz w:val="20"/>
                <w:szCs w:val="20"/>
                <w:color w:val="auto"/>
              </w:rPr>
            </w:pPr>
            <w:r>
              <w:rPr>
                <w:rFonts w:ascii="Arial" w:cs="Arial" w:eastAsia="Arial" w:hAnsi="Arial"/>
                <w:sz w:val="16"/>
                <w:szCs w:val="16"/>
                <w:b w:val="1"/>
                <w:bCs w:val="1"/>
                <w:color w:val="auto"/>
                <w:w w:val="97"/>
              </w:rPr>
              <w:t>Title</w:t>
            </w:r>
          </w:p>
        </w:tc>
        <w:tc>
          <w:tcPr>
            <w:tcW w:w="1580" w:type="dxa"/>
            <w:vAlign w:val="bottom"/>
          </w:tcPr>
          <w:p>
            <w:pPr>
              <w:jc w:val="center"/>
              <w:ind w:left="203"/>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415"/>
        </w:trPr>
        <w:tc>
          <w:tcPr>
            <w:tcW w:w="41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9"/>
              </w:rPr>
              <w:t>/s/ William P. Quinn</w:t>
            </w:r>
          </w:p>
        </w:tc>
        <w:tc>
          <w:tcPr>
            <w:tcW w:w="3660" w:type="dxa"/>
            <w:vAlign w:val="bottom"/>
          </w:tcPr>
          <w:p>
            <w:pPr>
              <w:jc w:val="center"/>
              <w:spacing w:after="0"/>
              <w:rPr>
                <w:sz w:val="20"/>
                <w:szCs w:val="20"/>
                <w:color w:val="auto"/>
              </w:rPr>
            </w:pPr>
            <w:r>
              <w:rPr>
                <w:rFonts w:ascii="Arial" w:cs="Arial" w:eastAsia="Arial" w:hAnsi="Arial"/>
                <w:sz w:val="20"/>
                <w:szCs w:val="20"/>
                <w:b w:val="1"/>
                <w:bCs w:val="1"/>
                <w:color w:val="auto"/>
                <w:w w:val="85"/>
              </w:rPr>
              <w:t>President, Chief Executive Officer and</w:t>
            </w:r>
          </w:p>
        </w:tc>
        <w:tc>
          <w:tcPr>
            <w:tcW w:w="1580" w:type="dxa"/>
            <w:vAlign w:val="bottom"/>
          </w:tcPr>
          <w:p>
            <w:pPr>
              <w:jc w:val="center"/>
              <w:ind w:left="203"/>
              <w:spacing w:after="0"/>
              <w:rPr>
                <w:sz w:val="20"/>
                <w:szCs w:val="20"/>
                <w:color w:val="auto"/>
              </w:rPr>
            </w:pPr>
            <w:r>
              <w:rPr>
                <w:rFonts w:ascii="Arial" w:cs="Arial" w:eastAsia="Arial" w:hAnsi="Arial"/>
                <w:sz w:val="20"/>
                <w:szCs w:val="20"/>
                <w:b w:val="1"/>
                <w:bCs w:val="1"/>
                <w:color w:val="auto"/>
                <w:w w:val="89"/>
              </w:rPr>
              <w:t>March 12, 2026</w:t>
            </w:r>
          </w:p>
        </w:tc>
        <w:tc>
          <w:tcPr>
            <w:tcW w:w="0" w:type="dxa"/>
            <w:vAlign w:val="bottom"/>
          </w:tcPr>
          <w:p>
            <w:pPr>
              <w:spacing w:after="0"/>
              <w:rPr>
                <w:sz w:val="1"/>
                <w:szCs w:val="1"/>
                <w:color w:val="auto"/>
              </w:rPr>
            </w:pPr>
          </w:p>
        </w:tc>
      </w:tr>
      <w:tr>
        <w:trPr>
          <w:trHeight w:val="212"/>
        </w:trPr>
        <w:tc>
          <w:tcPr>
            <w:tcW w:w="4180" w:type="dxa"/>
            <w:vAlign w:val="bottom"/>
            <w:gridSpan w:val="2"/>
          </w:tcPr>
          <w:p>
            <w:pPr>
              <w:jc w:val="center"/>
              <w:spacing w:after="0" w:line="212" w:lineRule="exact"/>
              <w:rPr>
                <w:sz w:val="20"/>
                <w:szCs w:val="20"/>
                <w:color w:val="auto"/>
              </w:rPr>
            </w:pPr>
            <w:r>
              <w:rPr>
                <w:rFonts w:ascii="Arial" w:cs="Arial" w:eastAsia="Arial" w:hAnsi="Arial"/>
                <w:sz w:val="20"/>
                <w:szCs w:val="20"/>
                <w:b w:val="1"/>
                <w:bCs w:val="1"/>
                <w:color w:val="auto"/>
                <w:w w:val="89"/>
              </w:rPr>
              <w:t>William P. Quinn</w:t>
            </w:r>
          </w:p>
        </w:tc>
        <w:tc>
          <w:tcPr>
            <w:tcW w:w="366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88"/>
              </w:rPr>
              <w:t>Chief Financial Officer</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tcPr>
          <w:p>
            <w:pPr>
              <w:jc w:val="center"/>
              <w:spacing w:after="0" w:line="220" w:lineRule="exact"/>
              <w:rPr>
                <w:sz w:val="20"/>
                <w:szCs w:val="20"/>
                <w:color w:val="auto"/>
              </w:rPr>
            </w:pPr>
            <w:r>
              <w:rPr>
                <w:rFonts w:ascii="Arial" w:cs="Arial" w:eastAsia="Arial" w:hAnsi="Arial"/>
                <w:sz w:val="20"/>
                <w:szCs w:val="20"/>
                <w:b w:val="1"/>
                <w:bCs w:val="1"/>
                <w:color w:val="auto"/>
                <w:w w:val="87"/>
              </w:rPr>
              <w:t>(Principal Executive and Financial</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20"/>
                <w:szCs w:val="20"/>
                <w:b w:val="1"/>
                <w:bCs w:val="1"/>
                <w:color w:val="auto"/>
                <w:w w:val="89"/>
              </w:rPr>
              <w:t>Officer)</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4180" w:type="dxa"/>
            <w:vAlign w:val="bottom"/>
            <w:gridSpan w:val="2"/>
          </w:tcPr>
          <w:p>
            <w:pPr>
              <w:jc w:val="center"/>
              <w:spacing w:after="0"/>
              <w:rPr>
                <w:sz w:val="20"/>
                <w:szCs w:val="20"/>
                <w:color w:val="auto"/>
              </w:rPr>
            </w:pPr>
            <w:r>
              <w:rPr>
                <w:rFonts w:ascii="Arial" w:cs="Arial" w:eastAsia="Arial" w:hAnsi="Arial"/>
                <w:sz w:val="20"/>
                <w:szCs w:val="20"/>
                <w:b w:val="1"/>
                <w:bCs w:val="1"/>
                <w:color w:val="auto"/>
                <w:w w:val="84"/>
              </w:rPr>
              <w:t>/s/ Sarah Nemec</w:t>
            </w:r>
          </w:p>
        </w:tc>
        <w:tc>
          <w:tcPr>
            <w:tcW w:w="3660" w:type="dxa"/>
            <w:vAlign w:val="bottom"/>
          </w:tcPr>
          <w:p>
            <w:pPr>
              <w:jc w:val="center"/>
              <w:spacing w:after="0"/>
              <w:rPr>
                <w:sz w:val="20"/>
                <w:szCs w:val="20"/>
                <w:color w:val="auto"/>
              </w:rPr>
            </w:pPr>
            <w:r>
              <w:rPr>
                <w:rFonts w:ascii="Arial" w:cs="Arial" w:eastAsia="Arial" w:hAnsi="Arial"/>
                <w:sz w:val="20"/>
                <w:szCs w:val="20"/>
                <w:b w:val="1"/>
                <w:bCs w:val="1"/>
                <w:color w:val="auto"/>
                <w:w w:val="84"/>
              </w:rPr>
              <w:t>Senior Vice President, Finance</w:t>
            </w:r>
          </w:p>
        </w:tc>
        <w:tc>
          <w:tcPr>
            <w:tcW w:w="1580" w:type="dxa"/>
            <w:vAlign w:val="bottom"/>
          </w:tcPr>
          <w:p>
            <w:pPr>
              <w:jc w:val="center"/>
              <w:ind w:left="203"/>
              <w:spacing w:after="0"/>
              <w:rPr>
                <w:sz w:val="20"/>
                <w:szCs w:val="20"/>
                <w:color w:val="auto"/>
              </w:rPr>
            </w:pPr>
            <w:r>
              <w:rPr>
                <w:rFonts w:ascii="Arial" w:cs="Arial" w:eastAsia="Arial" w:hAnsi="Arial"/>
                <w:sz w:val="20"/>
                <w:szCs w:val="20"/>
                <w:b w:val="1"/>
                <w:bCs w:val="1"/>
                <w:color w:val="auto"/>
                <w:w w:val="89"/>
              </w:rPr>
              <w:t>March 12, 2026</w:t>
            </w:r>
          </w:p>
        </w:tc>
        <w:tc>
          <w:tcPr>
            <w:tcW w:w="0" w:type="dxa"/>
            <w:vAlign w:val="bottom"/>
          </w:tcPr>
          <w:p>
            <w:pPr>
              <w:spacing w:after="0"/>
              <w:rPr>
                <w:sz w:val="1"/>
                <w:szCs w:val="1"/>
                <w:color w:val="auto"/>
              </w:rPr>
            </w:pPr>
          </w:p>
        </w:tc>
      </w:tr>
      <w:tr>
        <w:trPr>
          <w:trHeight w:val="22"/>
        </w:trPr>
        <w:tc>
          <w:tcPr>
            <w:tcW w:w="4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7"/>
              </w:rPr>
              <w:t>(Principal Accounting Officer)</w:t>
            </w: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4180" w:type="dxa"/>
            <w:vAlign w:val="bottom"/>
            <w:gridSpan w:val="2"/>
          </w:tcPr>
          <w:p>
            <w:pPr>
              <w:jc w:val="center"/>
              <w:spacing w:after="0" w:line="215" w:lineRule="exact"/>
              <w:rPr>
                <w:sz w:val="20"/>
                <w:szCs w:val="20"/>
                <w:color w:val="auto"/>
              </w:rPr>
            </w:pPr>
            <w:r>
              <w:rPr>
                <w:rFonts w:ascii="Arial" w:cs="Arial" w:eastAsia="Arial" w:hAnsi="Arial"/>
                <w:sz w:val="20"/>
                <w:szCs w:val="20"/>
                <w:b w:val="1"/>
                <w:bCs w:val="1"/>
                <w:color w:val="auto"/>
                <w:w w:val="83"/>
              </w:rPr>
              <w:t>Sarah Nemec</w:t>
            </w:r>
          </w:p>
        </w:tc>
        <w:tc>
          <w:tcPr>
            <w:tcW w:w="36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6"/>
        </w:trPr>
        <w:tc>
          <w:tcPr>
            <w:tcW w:w="41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6"/>
              </w:rPr>
              <w:t>/s/ Brian O’Callaghan</w:t>
            </w:r>
          </w:p>
        </w:tc>
        <w:tc>
          <w:tcPr>
            <w:tcW w:w="3660" w:type="dxa"/>
            <w:vAlign w:val="bottom"/>
          </w:tcPr>
          <w:p>
            <w:pPr>
              <w:ind w:left="1340"/>
              <w:spacing w:after="0"/>
              <w:rPr>
                <w:sz w:val="20"/>
                <w:szCs w:val="20"/>
                <w:color w:val="auto"/>
              </w:rPr>
            </w:pPr>
            <w:r>
              <w:rPr>
                <w:rFonts w:ascii="Arial" w:cs="Arial" w:eastAsia="Arial" w:hAnsi="Arial"/>
                <w:sz w:val="20"/>
                <w:szCs w:val="20"/>
                <w:b w:val="1"/>
                <w:bCs w:val="1"/>
                <w:color w:val="auto"/>
              </w:rPr>
              <w:t>Chairman</w:t>
            </w:r>
          </w:p>
        </w:tc>
        <w:tc>
          <w:tcPr>
            <w:tcW w:w="1580" w:type="dxa"/>
            <w:vAlign w:val="bottom"/>
            <w:vMerge w:val="restart"/>
          </w:tcPr>
          <w:p>
            <w:pPr>
              <w:jc w:val="center"/>
              <w:ind w:left="203"/>
              <w:spacing w:after="0"/>
              <w:rPr>
                <w:sz w:val="20"/>
                <w:szCs w:val="20"/>
                <w:color w:val="auto"/>
              </w:rPr>
            </w:pPr>
            <w:r>
              <w:rPr>
                <w:rFonts w:ascii="Arial" w:cs="Arial" w:eastAsia="Arial" w:hAnsi="Arial"/>
                <w:sz w:val="20"/>
                <w:szCs w:val="20"/>
                <w:b w:val="1"/>
                <w:bCs w:val="1"/>
                <w:color w:val="auto"/>
                <w:w w:val="89"/>
              </w:rPr>
              <w:t>March 12, 2026</w:t>
            </w:r>
          </w:p>
        </w:tc>
        <w:tc>
          <w:tcPr>
            <w:tcW w:w="0" w:type="dxa"/>
            <w:vAlign w:val="bottom"/>
          </w:tcPr>
          <w:p>
            <w:pPr>
              <w:spacing w:after="0"/>
              <w:rPr>
                <w:sz w:val="1"/>
                <w:szCs w:val="1"/>
                <w:color w:val="auto"/>
              </w:rPr>
            </w:pPr>
          </w:p>
        </w:tc>
      </w:tr>
      <w:tr>
        <w:trPr>
          <w:trHeight w:val="107"/>
        </w:trPr>
        <w:tc>
          <w:tcPr>
            <w:tcW w:w="4180" w:type="dxa"/>
            <w:vAlign w:val="bottom"/>
            <w:gridSpan w:val="2"/>
            <w:vMerge w:val="restart"/>
          </w:tcPr>
          <w:p>
            <w:pPr>
              <w:jc w:val="center"/>
              <w:spacing w:after="0" w:line="225" w:lineRule="exact"/>
              <w:rPr>
                <w:sz w:val="20"/>
                <w:szCs w:val="20"/>
                <w:color w:val="auto"/>
              </w:rPr>
            </w:pPr>
            <w:r>
              <w:rPr>
                <w:rFonts w:ascii="Arial" w:cs="Arial" w:eastAsia="Arial" w:hAnsi="Arial"/>
                <w:sz w:val="20"/>
                <w:szCs w:val="20"/>
                <w:b w:val="1"/>
                <w:bCs w:val="1"/>
                <w:color w:val="auto"/>
                <w:w w:val="86"/>
              </w:rPr>
              <w:t>Brian O’Callaghan</w:t>
            </w:r>
          </w:p>
        </w:tc>
        <w:tc>
          <w:tcPr>
            <w:tcW w:w="366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180" w:type="dxa"/>
            <w:vAlign w:val="bottom"/>
            <w:gridSpan w:val="2"/>
            <w:vMerge w:val="continue"/>
          </w:tcPr>
          <w:p>
            <w:pPr>
              <w:spacing w:after="0"/>
              <w:rPr>
                <w:sz w:val="10"/>
                <w:szCs w:val="10"/>
                <w:color w:val="auto"/>
              </w:rPr>
            </w:pPr>
          </w:p>
        </w:tc>
        <w:tc>
          <w:tcPr>
            <w:tcW w:w="36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8"/>
        </w:trPr>
        <w:tc>
          <w:tcPr>
            <w:tcW w:w="41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5"/>
              </w:rPr>
              <w:t>/s/ Laura Berner</w:t>
            </w:r>
          </w:p>
        </w:tc>
        <w:tc>
          <w:tcPr>
            <w:tcW w:w="3660" w:type="dxa"/>
            <w:vAlign w:val="bottom"/>
          </w:tcPr>
          <w:p>
            <w:pPr>
              <w:jc w:val="center"/>
              <w:spacing w:after="0"/>
              <w:rPr>
                <w:sz w:val="20"/>
                <w:szCs w:val="20"/>
                <w:color w:val="auto"/>
              </w:rPr>
            </w:pPr>
            <w:r>
              <w:rPr>
                <w:rFonts w:ascii="Arial" w:cs="Arial" w:eastAsia="Arial" w:hAnsi="Arial"/>
                <w:sz w:val="20"/>
                <w:szCs w:val="20"/>
                <w:b w:val="1"/>
                <w:bCs w:val="1"/>
                <w:color w:val="auto"/>
                <w:w w:val="86"/>
              </w:rPr>
              <w:t>Director</w:t>
            </w:r>
          </w:p>
        </w:tc>
        <w:tc>
          <w:tcPr>
            <w:tcW w:w="1580" w:type="dxa"/>
            <w:vAlign w:val="bottom"/>
            <w:vMerge w:val="restart"/>
          </w:tcPr>
          <w:p>
            <w:pPr>
              <w:jc w:val="center"/>
              <w:ind w:left="203"/>
              <w:spacing w:after="0"/>
              <w:rPr>
                <w:sz w:val="20"/>
                <w:szCs w:val="20"/>
                <w:color w:val="auto"/>
              </w:rPr>
            </w:pPr>
            <w:r>
              <w:rPr>
                <w:rFonts w:ascii="Arial" w:cs="Arial" w:eastAsia="Arial" w:hAnsi="Arial"/>
                <w:sz w:val="20"/>
                <w:szCs w:val="20"/>
                <w:b w:val="1"/>
                <w:bCs w:val="1"/>
                <w:color w:val="auto"/>
                <w:w w:val="89"/>
              </w:rPr>
              <w:t>March 12, 2026</w:t>
            </w:r>
          </w:p>
        </w:tc>
        <w:tc>
          <w:tcPr>
            <w:tcW w:w="0" w:type="dxa"/>
            <w:vAlign w:val="bottom"/>
          </w:tcPr>
          <w:p>
            <w:pPr>
              <w:spacing w:after="0"/>
              <w:rPr>
                <w:sz w:val="1"/>
                <w:szCs w:val="1"/>
                <w:color w:val="auto"/>
              </w:rPr>
            </w:pPr>
          </w:p>
        </w:tc>
      </w:tr>
      <w:tr>
        <w:trPr>
          <w:trHeight w:val="107"/>
        </w:trPr>
        <w:tc>
          <w:tcPr>
            <w:tcW w:w="4180" w:type="dxa"/>
            <w:vAlign w:val="bottom"/>
            <w:gridSpan w:val="2"/>
            <w:vMerge w:val="restart"/>
          </w:tcPr>
          <w:p>
            <w:pPr>
              <w:jc w:val="center"/>
              <w:spacing w:after="0" w:line="225" w:lineRule="exact"/>
              <w:rPr>
                <w:sz w:val="20"/>
                <w:szCs w:val="20"/>
                <w:color w:val="auto"/>
              </w:rPr>
            </w:pPr>
            <w:r>
              <w:rPr>
                <w:rFonts w:ascii="Arial" w:cs="Arial" w:eastAsia="Arial" w:hAnsi="Arial"/>
                <w:sz w:val="20"/>
                <w:szCs w:val="20"/>
                <w:b w:val="1"/>
                <w:bCs w:val="1"/>
                <w:color w:val="auto"/>
                <w:w w:val="85"/>
              </w:rPr>
              <w:t>Laura Berner</w:t>
            </w:r>
          </w:p>
        </w:tc>
        <w:tc>
          <w:tcPr>
            <w:tcW w:w="366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180" w:type="dxa"/>
            <w:vAlign w:val="bottom"/>
            <w:gridSpan w:val="2"/>
            <w:vMerge w:val="continue"/>
          </w:tcPr>
          <w:p>
            <w:pPr>
              <w:spacing w:after="0"/>
              <w:rPr>
                <w:sz w:val="10"/>
                <w:szCs w:val="10"/>
                <w:color w:val="auto"/>
              </w:rPr>
            </w:pPr>
          </w:p>
        </w:tc>
        <w:tc>
          <w:tcPr>
            <w:tcW w:w="36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6"/>
        </w:trPr>
        <w:tc>
          <w:tcPr>
            <w:tcW w:w="4180" w:type="dxa"/>
            <w:vAlign w:val="bottom"/>
            <w:gridSpan w:val="2"/>
          </w:tcPr>
          <w:p>
            <w:pPr>
              <w:jc w:val="center"/>
              <w:spacing w:after="0"/>
              <w:rPr>
                <w:sz w:val="20"/>
                <w:szCs w:val="20"/>
                <w:color w:val="auto"/>
              </w:rPr>
            </w:pPr>
            <w:r>
              <w:rPr>
                <w:rFonts w:ascii="Arial" w:cs="Arial" w:eastAsia="Arial" w:hAnsi="Arial"/>
                <w:sz w:val="20"/>
                <w:szCs w:val="20"/>
                <w:b w:val="1"/>
                <w:bCs w:val="1"/>
                <w:color w:val="auto"/>
                <w:w w:val="86"/>
              </w:rPr>
              <w:t>/s/ Kathleen LaPorte</w:t>
            </w:r>
          </w:p>
        </w:tc>
        <w:tc>
          <w:tcPr>
            <w:tcW w:w="3660" w:type="dxa"/>
            <w:vAlign w:val="bottom"/>
          </w:tcPr>
          <w:p>
            <w:pPr>
              <w:jc w:val="center"/>
              <w:spacing w:after="0"/>
              <w:rPr>
                <w:sz w:val="20"/>
                <w:szCs w:val="20"/>
                <w:color w:val="auto"/>
              </w:rPr>
            </w:pPr>
            <w:r>
              <w:rPr>
                <w:rFonts w:ascii="Arial" w:cs="Arial" w:eastAsia="Arial" w:hAnsi="Arial"/>
                <w:sz w:val="20"/>
                <w:szCs w:val="20"/>
                <w:b w:val="1"/>
                <w:bCs w:val="1"/>
                <w:color w:val="auto"/>
                <w:w w:val="86"/>
              </w:rPr>
              <w:t>Director</w:t>
            </w:r>
          </w:p>
        </w:tc>
        <w:tc>
          <w:tcPr>
            <w:tcW w:w="1580" w:type="dxa"/>
            <w:vAlign w:val="bottom"/>
          </w:tcPr>
          <w:p>
            <w:pPr>
              <w:jc w:val="center"/>
              <w:ind w:left="203"/>
              <w:spacing w:after="0"/>
              <w:rPr>
                <w:sz w:val="20"/>
                <w:szCs w:val="20"/>
                <w:color w:val="auto"/>
              </w:rPr>
            </w:pPr>
            <w:r>
              <w:rPr>
                <w:rFonts w:ascii="Arial" w:cs="Arial" w:eastAsia="Arial" w:hAnsi="Arial"/>
                <w:sz w:val="20"/>
                <w:szCs w:val="20"/>
                <w:b w:val="1"/>
                <w:bCs w:val="1"/>
                <w:color w:val="auto"/>
                <w:w w:val="89"/>
              </w:rPr>
              <w:t>March 12, 2026</w:t>
            </w:r>
          </w:p>
        </w:tc>
        <w:tc>
          <w:tcPr>
            <w:tcW w:w="0" w:type="dxa"/>
            <w:vAlign w:val="bottom"/>
          </w:tcPr>
          <w:p>
            <w:pPr>
              <w:spacing w:after="0"/>
              <w:rPr>
                <w:sz w:val="1"/>
                <w:szCs w:val="1"/>
                <w:color w:val="auto"/>
              </w:rPr>
            </w:pPr>
          </w:p>
        </w:tc>
      </w:tr>
      <w:tr>
        <w:trPr>
          <w:trHeight w:val="22"/>
        </w:trPr>
        <w:tc>
          <w:tcPr>
            <w:tcW w:w="4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4180" w:type="dxa"/>
            <w:vAlign w:val="bottom"/>
            <w:gridSpan w:val="2"/>
          </w:tcPr>
          <w:p>
            <w:pPr>
              <w:jc w:val="center"/>
              <w:spacing w:after="0" w:line="215" w:lineRule="exact"/>
              <w:rPr>
                <w:sz w:val="20"/>
                <w:szCs w:val="20"/>
                <w:color w:val="auto"/>
              </w:rPr>
            </w:pPr>
            <w:r>
              <w:rPr>
                <w:rFonts w:ascii="Arial" w:cs="Arial" w:eastAsia="Arial" w:hAnsi="Arial"/>
                <w:sz w:val="20"/>
                <w:szCs w:val="20"/>
                <w:b w:val="1"/>
                <w:bCs w:val="1"/>
                <w:color w:val="auto"/>
                <w:w w:val="86"/>
              </w:rPr>
              <w:t>Kathleen LaPorte</w:t>
            </w:r>
          </w:p>
        </w:tc>
        <w:tc>
          <w:tcPr>
            <w:tcW w:w="3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6"/>
        </w:trPr>
        <w:tc>
          <w:tcPr>
            <w:tcW w:w="41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7"/>
              </w:rPr>
              <w:t>/s/ Jakob Dupont, M.D.</w:t>
            </w:r>
          </w:p>
        </w:tc>
        <w:tc>
          <w:tcPr>
            <w:tcW w:w="3660" w:type="dxa"/>
            <w:vAlign w:val="bottom"/>
          </w:tcPr>
          <w:p>
            <w:pPr>
              <w:jc w:val="center"/>
              <w:spacing w:after="0"/>
              <w:rPr>
                <w:sz w:val="20"/>
                <w:szCs w:val="20"/>
                <w:color w:val="auto"/>
              </w:rPr>
            </w:pPr>
            <w:r>
              <w:rPr>
                <w:rFonts w:ascii="Arial" w:cs="Arial" w:eastAsia="Arial" w:hAnsi="Arial"/>
                <w:sz w:val="20"/>
                <w:szCs w:val="20"/>
                <w:b w:val="1"/>
                <w:bCs w:val="1"/>
                <w:color w:val="auto"/>
                <w:w w:val="86"/>
              </w:rPr>
              <w:t>Director</w:t>
            </w:r>
          </w:p>
        </w:tc>
        <w:tc>
          <w:tcPr>
            <w:tcW w:w="1580" w:type="dxa"/>
            <w:vAlign w:val="bottom"/>
          </w:tcPr>
          <w:p>
            <w:pPr>
              <w:jc w:val="center"/>
              <w:ind w:left="203"/>
              <w:spacing w:after="0"/>
              <w:rPr>
                <w:sz w:val="20"/>
                <w:szCs w:val="20"/>
                <w:color w:val="auto"/>
              </w:rPr>
            </w:pPr>
            <w:r>
              <w:rPr>
                <w:rFonts w:ascii="Arial" w:cs="Arial" w:eastAsia="Arial" w:hAnsi="Arial"/>
                <w:sz w:val="20"/>
                <w:szCs w:val="20"/>
                <w:b w:val="1"/>
                <w:bCs w:val="1"/>
                <w:color w:val="auto"/>
                <w:w w:val="89"/>
              </w:rPr>
              <w:t>March 12, 2026</w:t>
            </w:r>
          </w:p>
        </w:tc>
        <w:tc>
          <w:tcPr>
            <w:tcW w:w="0" w:type="dxa"/>
            <w:vAlign w:val="bottom"/>
          </w:tcPr>
          <w:p>
            <w:pPr>
              <w:spacing w:after="0"/>
              <w:rPr>
                <w:sz w:val="1"/>
                <w:szCs w:val="1"/>
                <w:color w:val="auto"/>
              </w:rPr>
            </w:pPr>
          </w:p>
        </w:tc>
      </w:tr>
      <w:tr>
        <w:trPr>
          <w:trHeight w:val="225"/>
        </w:trPr>
        <w:tc>
          <w:tcPr>
            <w:tcW w:w="4180" w:type="dxa"/>
            <w:vAlign w:val="bottom"/>
            <w:gridSpan w:val="2"/>
          </w:tcPr>
          <w:p>
            <w:pPr>
              <w:jc w:val="center"/>
              <w:ind w:right="20"/>
              <w:spacing w:after="0" w:line="225" w:lineRule="exact"/>
              <w:rPr>
                <w:sz w:val="20"/>
                <w:szCs w:val="20"/>
                <w:color w:val="auto"/>
              </w:rPr>
            </w:pPr>
            <w:r>
              <w:rPr>
                <w:rFonts w:ascii="Arial" w:cs="Arial" w:eastAsia="Arial" w:hAnsi="Arial"/>
                <w:sz w:val="20"/>
                <w:szCs w:val="20"/>
                <w:b w:val="1"/>
                <w:bCs w:val="1"/>
                <w:color w:val="auto"/>
                <w:w w:val="87"/>
              </w:rPr>
              <w:t>Jakob Dupont, M.D.</w:t>
            </w:r>
          </w:p>
        </w:tc>
        <w:tc>
          <w:tcPr>
            <w:tcW w:w="3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/s/ Nicole Onetto, M.D.</w:t>
            </w:r>
          </w:p>
        </w:tc>
        <w:tc>
          <w:tcPr>
            <w:tcW w:w="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20"/>
                <w:szCs w:val="20"/>
                <w:b w:val="1"/>
                <w:bCs w:val="1"/>
                <w:color w:val="auto"/>
                <w:w w:val="86"/>
              </w:rPr>
              <w:t>Director</w:t>
            </w:r>
          </w:p>
        </w:tc>
        <w:tc>
          <w:tcPr>
            <w:tcW w:w="1580" w:type="dxa"/>
            <w:vAlign w:val="bottom"/>
          </w:tcPr>
          <w:p>
            <w:pPr>
              <w:jc w:val="center"/>
              <w:ind w:left="203"/>
              <w:spacing w:after="0"/>
              <w:rPr>
                <w:sz w:val="20"/>
                <w:szCs w:val="20"/>
                <w:color w:val="auto"/>
              </w:rPr>
            </w:pPr>
            <w:r>
              <w:rPr>
                <w:rFonts w:ascii="Arial" w:cs="Arial" w:eastAsia="Arial" w:hAnsi="Arial"/>
                <w:sz w:val="20"/>
                <w:szCs w:val="20"/>
                <w:b w:val="1"/>
                <w:bCs w:val="1"/>
                <w:color w:val="auto"/>
                <w:w w:val="89"/>
              </w:rPr>
              <w:t>March 12, 2026</w:t>
            </w:r>
          </w:p>
        </w:tc>
        <w:tc>
          <w:tcPr>
            <w:tcW w:w="0" w:type="dxa"/>
            <w:vAlign w:val="bottom"/>
          </w:tcPr>
          <w:p>
            <w:pPr>
              <w:spacing w:after="0"/>
              <w:rPr>
                <w:sz w:val="1"/>
                <w:szCs w:val="1"/>
                <w:color w:val="auto"/>
              </w:rPr>
            </w:pPr>
          </w:p>
        </w:tc>
      </w:tr>
      <w:tr>
        <w:trPr>
          <w:trHeight w:val="225"/>
        </w:trPr>
        <w:tc>
          <w:tcPr>
            <w:tcW w:w="4180" w:type="dxa"/>
            <w:vAlign w:val="bottom"/>
            <w:gridSpan w:val="2"/>
          </w:tcPr>
          <w:p>
            <w:pPr>
              <w:jc w:val="center"/>
              <w:spacing w:after="0" w:line="225" w:lineRule="exact"/>
              <w:rPr>
                <w:sz w:val="20"/>
                <w:szCs w:val="20"/>
                <w:color w:val="auto"/>
              </w:rPr>
            </w:pPr>
            <w:r>
              <w:rPr>
                <w:rFonts w:ascii="Arial" w:cs="Arial" w:eastAsia="Arial" w:hAnsi="Arial"/>
                <w:sz w:val="20"/>
                <w:szCs w:val="20"/>
                <w:b w:val="1"/>
                <w:bCs w:val="1"/>
                <w:color w:val="auto"/>
                <w:w w:val="90"/>
              </w:rPr>
              <w:t>Nicole Onetto, M.D.</w:t>
            </w:r>
          </w:p>
        </w:tc>
        <w:tc>
          <w:tcPr>
            <w:tcW w:w="3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-3164205</wp:posOffset>
            </wp:positionV>
            <wp:extent cx="6189980"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89980" cy="40640"/>
                    </a:xfrm>
                    <a:prstGeom prst="rect">
                      <a:avLst/>
                    </a:prstGeom>
                    <a:noFill/>
                  </pic:spPr>
                </pic:pic>
              </a:graphicData>
            </a:graphic>
          </wp:anchor>
        </w:drawing>
      </w:r>
    </w:p>
    <w:p>
      <w:pPr>
        <w:sectPr>
          <w:pgSz w:w="12240" w:h="15840" w:orient="portrait"/>
          <w:cols w:equalWidth="0" w:num="1">
            <w:col w:w="9640"/>
          </w:cols>
          <w:pgMar w:left="1260" w:top="1079" w:right="13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117</w:t>
      </w:r>
    </w:p>
    <w:p>
      <w:pPr>
        <w:sectPr>
          <w:pgSz w:w="12240" w:h="15840" w:orient="portrait"/>
          <w:cols w:equalWidth="0" w:num="1">
            <w:col w:w="9640"/>
          </w:cols>
          <w:pgMar w:left="1260" w:top="1079" w:right="1340" w:bottom="181" w:gutter="0" w:footer="0" w:header="0"/>
          <w:type w:val="continuous"/>
        </w:sectPr>
      </w:pPr>
    </w:p>
    <w:bookmarkStart w:id="157" w:name="page158"/>
    <w:bookmarkEnd w:id="157"/>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59" w:name="page160"/>
    <w:bookmarkEnd w:id="159"/>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 "/>
      <w:numFmt w:val="bullet"/>
      <w:start w:val="1"/>
    </w:lvl>
  </w:abstractNum>
  <w:abstractNum w:abstractNumId="1">
    <w:nsid w:val="B03E0C6"/>
    <w:multiLevelType w:val="hybridMultilevel"/>
    <w:lvl w:ilvl="0">
      <w:lvlJc w:val="left"/>
      <w:lvlText w:val=" "/>
      <w:numFmt w:val="bullet"/>
      <w:start w:val="1"/>
    </w:lvl>
  </w:abstractNum>
  <w:abstractNum w:abstractNumId="2">
    <w:nsid w:val="189A769B"/>
    <w:multiLevelType w:val="hybridMultilevel"/>
    <w:lvl w:ilvl="0">
      <w:lvlJc w:val="left"/>
      <w:lvlText w:val=" "/>
      <w:numFmt w:val="bullet"/>
      <w:start w:val="1"/>
    </w:lvl>
  </w:abstractNum>
  <w:abstractNum w:abstractNumId="3">
    <w:nsid w:val="54E49EB4"/>
    <w:multiLevelType w:val="hybridMultilevel"/>
    <w:lvl w:ilvl="0">
      <w:lvlJc w:val="left"/>
      <w:lvlText w:val=" "/>
      <w:numFmt w:val="bullet"/>
      <w:start w:val="1"/>
    </w:lvl>
  </w:abstractNum>
  <w:abstractNum w:abstractNumId="4">
    <w:nsid w:val="71F32454"/>
    <w:multiLevelType w:val="hybridMultilevel"/>
    <w:lvl w:ilvl="0">
      <w:lvlJc w:val="left"/>
      <w:lvlText w:val=" "/>
      <w:numFmt w:val="bullet"/>
      <w:start w:val="1"/>
    </w:lvl>
  </w:abstractNum>
  <w:abstractNum w:abstractNumId="5">
    <w:nsid w:val="2CA88611"/>
    <w:multiLevelType w:val="hybridMultilevel"/>
    <w:lvl w:ilvl="0">
      <w:lvlJc w:val="left"/>
      <w:lvlText w:val=" "/>
      <w:numFmt w:val="bullet"/>
      <w:start w:val="1"/>
    </w:lvl>
  </w:abstractNum>
  <w:abstractNum w:abstractNumId="6">
    <w:nsid w:val="836C40E"/>
    <w:multiLevelType w:val="hybridMultilevel"/>
    <w:lvl w:ilvl="0">
      <w:lvlJc w:val="left"/>
      <w:lvlText w:val=" "/>
      <w:numFmt w:val="bullet"/>
      <w:start w:val="1"/>
    </w:lvl>
  </w:abstractNum>
  <w:abstractNum w:abstractNumId="7">
    <w:nsid w:val="2901D82"/>
    <w:multiLevelType w:val="hybridMultilevel"/>
    <w:lvl w:ilvl="0">
      <w:lvlJc w:val="left"/>
      <w:lvlText w:val=" "/>
      <w:numFmt w:val="bullet"/>
      <w:start w:val="1"/>
    </w:lvl>
  </w:abstractNum>
  <w:abstractNum w:abstractNumId="8">
    <w:nsid w:val="3A95F874"/>
    <w:multiLevelType w:val="hybridMultilevel"/>
    <w:lvl w:ilvl="0">
      <w:lvlJc w:val="left"/>
      <w:lvlText w:val=" "/>
      <w:numFmt w:val="bullet"/>
      <w:start w:val="1"/>
    </w:lvl>
  </w:abstractNum>
  <w:abstractNum w:abstractNumId="9">
    <w:nsid w:val="8138641"/>
    <w:multiLevelType w:val="hybridMultilevel"/>
    <w:lvl w:ilvl="0">
      <w:lvlJc w:val="left"/>
      <w:lvlText w:val=" "/>
      <w:numFmt w:val="bullet"/>
      <w:start w:val="1"/>
    </w:lvl>
  </w:abstractNum>
  <w:abstractNum w:abstractNumId="10">
    <w:nsid w:val="1E7FF521"/>
    <w:multiLevelType w:val="hybridMultilevel"/>
    <w:lvl w:ilvl="0">
      <w:lvlJc w:val="left"/>
      <w:lvlText w:val=" "/>
      <w:numFmt w:val="bullet"/>
      <w:start w:val="1"/>
    </w:lvl>
  </w:abstractNum>
  <w:abstractNum w:abstractNumId="11">
    <w:nsid w:val="7C3DBD3D"/>
    <w:multiLevelType w:val="hybridMultilevel"/>
    <w:lvl w:ilvl="0">
      <w:lvlJc w:val="left"/>
      <w:lvlText w:val=" "/>
      <w:numFmt w:val="bullet"/>
      <w:start w:val="1"/>
    </w:lvl>
  </w:abstractNum>
  <w:abstractNum w:abstractNumId="12">
    <w:nsid w:val="737B8DDC"/>
    <w:multiLevelType w:val="hybridMultilevel"/>
    <w:lvl w:ilvl="0">
      <w:lvlJc w:val="left"/>
      <w:lvlText w:val=" "/>
      <w:numFmt w:val="bullet"/>
      <w:start w:val="1"/>
    </w:lvl>
  </w:abstractNum>
  <w:abstractNum w:abstractNumId="13">
    <w:nsid w:val="6CEAF087"/>
    <w:multiLevelType w:val="hybridMultilevel"/>
    <w:lvl w:ilvl="0">
      <w:lvlJc w:val="left"/>
      <w:lvlText w:val=" "/>
      <w:numFmt w:val="bullet"/>
      <w:start w:val="1"/>
    </w:lvl>
  </w:abstractNum>
  <w:abstractNum w:abstractNumId="14">
    <w:nsid w:val="22221A70"/>
    <w:multiLevelType w:val="hybridMultilevel"/>
    <w:lvl w:ilvl="0">
      <w:lvlJc w:val="left"/>
      <w:lvlText w:val=" "/>
      <w:numFmt w:val="bullet"/>
      <w:start w:val="1"/>
    </w:lvl>
  </w:abstractNum>
  <w:abstractNum w:abstractNumId="15">
    <w:nsid w:val="4516DDE9"/>
    <w:multiLevelType w:val="hybridMultilevel"/>
    <w:lvl w:ilvl="0">
      <w:lvlJc w:val="left"/>
      <w:lvlText w:val=" "/>
      <w:numFmt w:val="bullet"/>
      <w:start w:val="1"/>
    </w:lvl>
  </w:abstractNum>
  <w:abstractNum w:abstractNumId="16">
    <w:nsid w:val="3006C83E"/>
    <w:multiLevelType w:val="hybridMultilevel"/>
    <w:lvl w:ilvl="0">
      <w:lvlJc w:val="left"/>
      <w:lvlText w:val=" "/>
      <w:numFmt w:val="bullet"/>
      <w:start w:val="1"/>
    </w:lvl>
  </w:abstractNum>
  <w:abstractNum w:abstractNumId="17">
    <w:nsid w:val="614FD4A1"/>
    <w:multiLevelType w:val="hybridMultilevel"/>
    <w:lvl w:ilvl="0">
      <w:lvlJc w:val="left"/>
      <w:lvlText w:val=" "/>
      <w:numFmt w:val="bullet"/>
      <w:start w:val="1"/>
    </w:lvl>
  </w:abstractNum>
  <w:abstractNum w:abstractNumId="18">
    <w:nsid w:val="419AC241"/>
    <w:multiLevelType w:val="hybridMultilevel"/>
    <w:lvl w:ilvl="0">
      <w:lvlJc w:val="left"/>
      <w:lvlText w:val=" "/>
      <w:numFmt w:val="bullet"/>
      <w:start w:val="1"/>
    </w:lvl>
  </w:abstractNum>
  <w:abstractNum w:abstractNumId="19">
    <w:nsid w:val="5577F8E1"/>
    <w:multiLevelType w:val="hybridMultilevel"/>
    <w:lvl w:ilvl="0">
      <w:lvlJc w:val="left"/>
      <w:lvlText w:val=" "/>
      <w:numFmt w:val="bullet"/>
      <w:start w:val="1"/>
    </w:lvl>
  </w:abstractNum>
  <w:abstractNum w:abstractNumId="20">
    <w:nsid w:val="440BADFC"/>
    <w:multiLevelType w:val="hybridMultilevel"/>
    <w:lvl w:ilvl="0">
      <w:lvlJc w:val="left"/>
      <w:lvlText w:val=" "/>
      <w:numFmt w:val="bullet"/>
      <w:start w:val="1"/>
    </w:lvl>
  </w:abstractNum>
  <w:abstractNum w:abstractNumId="21">
    <w:nsid w:val="5072367"/>
    <w:multiLevelType w:val="hybridMultilevel"/>
    <w:lvl w:ilvl="0">
      <w:lvlJc w:val="left"/>
      <w:lvlText w:val=" "/>
      <w:numFmt w:val="bullet"/>
      <w:start w:val="1"/>
    </w:lvl>
  </w:abstractNum>
  <w:abstractNum w:abstractNumId="22">
    <w:nsid w:val="3804823E"/>
    <w:multiLevelType w:val="hybridMultilevel"/>
    <w:lvl w:ilvl="0">
      <w:lvlJc w:val="left"/>
      <w:lvlText w:val=" "/>
      <w:numFmt w:val="bullet"/>
      <w:start w:val="1"/>
    </w:lvl>
  </w:abstractNum>
  <w:abstractNum w:abstractNumId="23">
    <w:nsid w:val="77465F01"/>
    <w:multiLevelType w:val="hybridMultilevel"/>
    <w:lvl w:ilvl="0">
      <w:lvlJc w:val="left"/>
      <w:lvlText w:val=" "/>
      <w:numFmt w:val="bullet"/>
      <w:start w:val="1"/>
    </w:lvl>
  </w:abstractNum>
  <w:abstractNum w:abstractNumId="24">
    <w:nsid w:val="7724C67E"/>
    <w:multiLevelType w:val="hybridMultilevel"/>
    <w:lvl w:ilvl="0">
      <w:lvlJc w:val="left"/>
      <w:lvlText w:val=" "/>
      <w:numFmt w:val="bullet"/>
      <w:start w:val="1"/>
    </w:lvl>
  </w:abstractNum>
  <w:abstractNum w:abstractNumId="25">
    <w:nsid w:val="5C482A97"/>
    <w:multiLevelType w:val="hybridMultilevel"/>
    <w:lvl w:ilvl="0">
      <w:lvlJc w:val="left"/>
      <w:lvlText w:val=" "/>
      <w:numFmt w:val="bullet"/>
      <w:start w:val="1"/>
    </w:lvl>
  </w:abstractNum>
  <w:abstractNum w:abstractNumId="26">
    <w:nsid w:val="2463B9EA"/>
    <w:multiLevelType w:val="hybridMultilevel"/>
    <w:lvl w:ilvl="0">
      <w:lvlJc w:val="left"/>
      <w:lvlText w:val=" "/>
      <w:numFmt w:val="bullet"/>
      <w:start w:val="1"/>
    </w:lvl>
  </w:abstractNum>
  <w:abstractNum w:abstractNumId="27">
    <w:nsid w:val="5E884ADC"/>
    <w:multiLevelType w:val="hybridMultilevel"/>
    <w:lvl w:ilvl="0">
      <w:lvlJc w:val="left"/>
      <w:lvlText w:val=" "/>
      <w:numFmt w:val="bullet"/>
      <w:start w:val="1"/>
    </w:lvl>
  </w:abstractNum>
  <w:abstractNum w:abstractNumId="28">
    <w:nsid w:val="51EAD36B"/>
    <w:multiLevelType w:val="hybridMultilevel"/>
    <w:lvl w:ilvl="0">
      <w:lvlJc w:val="left"/>
      <w:lvlText w:val=" "/>
      <w:numFmt w:val="bullet"/>
      <w:start w:val="1"/>
    </w:lvl>
  </w:abstractNum>
  <w:abstractNum w:abstractNumId="29">
    <w:nsid w:val="2D517796"/>
    <w:multiLevelType w:val="hybridMultilevel"/>
    <w:lvl w:ilvl="0">
      <w:lvlJc w:val="left"/>
      <w:lvlText w:val=" "/>
      <w:numFmt w:val="bullet"/>
      <w:start w:val="1"/>
    </w:lvl>
  </w:abstractNum>
  <w:abstractNum w:abstractNumId="30">
    <w:nsid w:val="580BD78F"/>
    <w:multiLevelType w:val="hybridMultilevel"/>
    <w:lvl w:ilvl="0">
      <w:lvlJc w:val="left"/>
      <w:lvlText w:val=" "/>
      <w:numFmt w:val="bullet"/>
      <w:start w:val="1"/>
    </w:lvl>
  </w:abstractNum>
  <w:abstractNum w:abstractNumId="31">
    <w:nsid w:val="153EA438"/>
    <w:multiLevelType w:val="hybridMultilevel"/>
    <w:lvl w:ilvl="0">
      <w:lvlJc w:val="left"/>
      <w:lvlText w:val=" "/>
      <w:numFmt w:val="bullet"/>
      <w:start w:val="1"/>
    </w:lvl>
  </w:abstractNum>
  <w:abstractNum w:abstractNumId="32">
    <w:nsid w:val="3855585C"/>
    <w:multiLevelType w:val="hybridMultilevel"/>
    <w:lvl w:ilvl="0">
      <w:lvlJc w:val="left"/>
      <w:lvlText w:val=" "/>
      <w:numFmt w:val="bullet"/>
      <w:start w:val="1"/>
    </w:lvl>
  </w:abstractNum>
  <w:abstractNum w:abstractNumId="33">
    <w:nsid w:val="70A64E2A"/>
    <w:multiLevelType w:val="hybridMultilevel"/>
    <w:lvl w:ilvl="0">
      <w:lvlJc w:val="left"/>
      <w:lvlText w:val=" "/>
      <w:numFmt w:val="bullet"/>
      <w:start w:val="1"/>
    </w:lvl>
  </w:abstractNum>
  <w:abstractNum w:abstractNumId="34">
    <w:nsid w:val="6A2342EC"/>
    <w:multiLevelType w:val="hybridMultilevel"/>
    <w:lvl w:ilvl="0">
      <w:lvlJc w:val="left"/>
      <w:lvlText w:val=" "/>
      <w:numFmt w:val="bullet"/>
      <w:start w:val="1"/>
    </w:lvl>
  </w:abstractNum>
  <w:abstractNum w:abstractNumId="35">
    <w:nsid w:val="2A487CB0"/>
    <w:multiLevelType w:val="hybridMultilevel"/>
    <w:lvl w:ilvl="0">
      <w:lvlJc w:val="left"/>
      <w:lvlText w:val=" "/>
      <w:numFmt w:val="bullet"/>
      <w:start w:val="1"/>
    </w:lvl>
  </w:abstractNum>
  <w:abstractNum w:abstractNumId="36">
    <w:nsid w:val="1D4ED43B"/>
    <w:multiLevelType w:val="hybridMultilevel"/>
    <w:lvl w:ilvl="0">
      <w:lvlJc w:val="left"/>
      <w:lvlText w:val=" "/>
      <w:numFmt w:val="bullet"/>
      <w:start w:val="1"/>
    </w:lvl>
  </w:abstractNum>
  <w:abstractNum w:abstractNumId="37">
    <w:nsid w:val="725A06FB"/>
    <w:multiLevelType w:val="hybridMultilevel"/>
    <w:lvl w:ilvl="0">
      <w:lvlJc w:val="left"/>
      <w:lvlText w:val=" "/>
      <w:numFmt w:val="bullet"/>
      <w:start w:val="1"/>
    </w:lvl>
  </w:abstractNum>
  <w:abstractNum w:abstractNumId="38">
    <w:nsid w:val="2CD89A32"/>
    <w:multiLevelType w:val="hybridMultilevel"/>
    <w:lvl w:ilvl="0">
      <w:lvlJc w:val="left"/>
      <w:lvlText w:val=" "/>
      <w:numFmt w:val="bullet"/>
      <w:start w:val="1"/>
    </w:lvl>
  </w:abstractNum>
  <w:abstractNum w:abstractNumId="39">
    <w:nsid w:val="57E4CCAF"/>
    <w:multiLevelType w:val="hybridMultilevel"/>
    <w:lvl w:ilvl="0">
      <w:lvlJc w:val="left"/>
      <w:lvlText w:val=" "/>
      <w:numFmt w:val="bullet"/>
      <w:start w:val="1"/>
    </w:lvl>
  </w:abstractNum>
  <w:abstractNum w:abstractNumId="40">
    <w:nsid w:val="7A6D8D3C"/>
    <w:multiLevelType w:val="hybridMultilevel"/>
    <w:lvl w:ilvl="0">
      <w:lvlJc w:val="left"/>
      <w:lvlText w:val=" "/>
      <w:numFmt w:val="bullet"/>
      <w:start w:val="1"/>
    </w:lvl>
  </w:abstractNum>
  <w:abstractNum w:abstractNumId="41">
    <w:nsid w:val="4B588F54"/>
    <w:multiLevelType w:val="hybridMultilevel"/>
    <w:lvl w:ilvl="0">
      <w:lvlJc w:val="left"/>
      <w:lvlText w:val=" "/>
      <w:numFmt w:val="bullet"/>
      <w:start w:val="1"/>
    </w:lvl>
  </w:abstractNum>
  <w:abstractNum w:abstractNumId="42">
    <w:nsid w:val="542289EC"/>
    <w:multiLevelType w:val="hybridMultilevel"/>
    <w:lvl w:ilvl="0">
      <w:lvlJc w:val="left"/>
      <w:lvlText w:val="%1."/>
      <w:numFmt w:val="decimal"/>
      <w:start w:val="2"/>
    </w:lvl>
  </w:abstractNum>
  <w:abstractNum w:abstractNumId="43">
    <w:nsid w:val="6DE91B18"/>
    <w:multiLevelType w:val="hybridMultilevel"/>
    <w:lvl w:ilvl="0">
      <w:lvlJc w:val="left"/>
      <w:lvlText w:val="(%1)"/>
      <w:numFmt w:val="lowerRoman"/>
      <w:start w:val="3"/>
    </w:lvl>
  </w:abstractNum>
  <w:abstractNum w:abstractNumId="44">
    <w:nsid w:val="38437FDB"/>
    <w:multiLevelType w:val="hybridMultilevel"/>
    <w:lvl w:ilvl="0">
      <w:lvlJc w:val="left"/>
      <w:lvlText w:val="%1."/>
      <w:numFmt w:val="decimal"/>
      <w:start w:val="4"/>
    </w:lvl>
  </w:abstractNum>
  <w:abstractNum w:abstractNumId="45">
    <w:nsid w:val="7644A45C"/>
    <w:multiLevelType w:val="hybridMultilevel"/>
    <w:lvl w:ilvl="0">
      <w:lvlJc w:val="left"/>
      <w:lvlText w:val="%1."/>
      <w:numFmt w:val="decimal"/>
      <w:start w:val="6"/>
    </w:lvl>
  </w:abstractNum>
  <w:abstractNum w:abstractNumId="46">
    <w:nsid w:val="32FFF902"/>
    <w:multiLevelType w:val="hybridMultilevel"/>
    <w:lvl w:ilvl="0">
      <w:lvlJc w:val="left"/>
      <w:lvlText w:val=" "/>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2026-04-30T00:35:34Z</dcterms:created>
  <dcterms:modified xsi:type="dcterms:W3CDTF">2026-04-30T00:35:34Z</dcterms:modified>
</cp:coreProperties>
</file>