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olt-20260811.htm"/>
      <w:bookmarkStart w:id="1" w:name="ksbolt20260811"/>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top w:val="single" w:sz="6" w:space="1" w:color="000000"/>
        </w:pBdr>
        <w:bidi w:val="0"/>
        <w:spacing w:before="100" w:after="283"/>
        <w:jc w:val="center"/>
        <w:rPr/>
      </w:pPr>
      <w:r>
        <w:rPr/>
        <w:t> </w:t>
      </w:r>
    </w:p>
    <w:p>
      <w:pPr>
        <w:pStyle w:val="Heading2"/>
        <w:bidi w:val="0"/>
        <w:spacing w:before="1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Heading2"/>
        <w:pBdr>
          <w:top w:val="single" w:sz="6" w:space="1" w:color="000000"/>
        </w:pBdr>
        <w:bidi w:val="0"/>
        <w:spacing w:before="100" w:after="283"/>
        <w:jc w:val="center"/>
        <w:rPr/>
      </w:pPr>
      <w:r>
        <w:rPr/>
        <w:t> </w:t>
      </w:r>
    </w:p>
    <w:p>
      <w:pPr>
        <w:pStyle w:val="TextBody"/>
        <w:bidi w:val="0"/>
        <w:spacing w:before="1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left"/>
        <w:rPr/>
      </w:pPr>
      <w:r>
        <w:rPr/>
        <w:t> </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top w:val="single" w:sz="6" w:space="1" w:color="000000"/>
        </w:pBdr>
        <w:bidi w:val="0"/>
        <w:spacing w:before="100" w:after="283"/>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BOLT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top w:val="single" w:sz="6" w:space="1" w:color="000000"/>
        </w:pBdr>
        <w:bidi w:val="0"/>
        <w:spacing w:before="100" w:after="283"/>
        <w:jc w:val="center"/>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001-39988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47-2804636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 Chesapeake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Redwood City,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665-9295</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top w:val="single" w:sz="6" w:space="1" w:color="000000"/>
        </w:pBdr>
        <w:bidi w:val="0"/>
        <w:spacing w:before="100" w:after="283"/>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BOLT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2"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11, 2026, Bolt Biotherapeutics, Inc. (the “Company”) issued a press release announcing its financial results for the second quarter ended June 30, 2026 and a business update. A copy of the press release is furnished herewith as Exhibit 99.1 and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herein and the accompanying exhibit is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 any filing with the Securities and Exchange Commission made by us, whether made before or after the date hereof,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olt-ex99_1.htm">
              <w:r>
                <w:rPr>
                  <w:rStyle w:val="InternetLink"/>
                  <w:rFonts w:ascii="Times New Roman" w:hAnsi="Times New Roman"/>
                  <w:color w:val="0000FF"/>
                  <w:sz w:val="20"/>
                  <w:u w:val="single"/>
                </w:rPr>
                <w:t>Press Release dated August 11, 2026.</w:t>
              </w:r>
            </w:hyperlink>
            <w:hyperlink w:anchor="bolt-ex99_1.htm">
              <w:r>
                <w:rPr>
                  <w:rStyle w:val="InternetLink"/>
                  <w:rFonts w:ascii="Times New Roman" w:hAnsi="Times New Roman"/>
                  <w:color w:val="0000FF"/>
                  <w:sz w:val="20"/>
                </w:rPr>
                <w:t xml:space="preserve"> </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24" w:type="dxa"/>
        <w:jc w:val="left"/>
        <w:tblInd w:w="0" w:type="dxa"/>
        <w:tblLayout w:type="fixed"/>
        <w:tblCellMar>
          <w:top w:w="28" w:type="dxa"/>
          <w:left w:w="28" w:type="dxa"/>
          <w:bottom w:w="28" w:type="dxa"/>
          <w:right w:w="28" w:type="dxa"/>
        </w:tblCellMar>
      </w:tblPr>
      <w:tblGrid>
        <w:gridCol w:w="556"/>
        <w:gridCol w:w="1456"/>
        <w:gridCol w:w="451"/>
        <w:gridCol w:w="516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Bolt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1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William P. Quinn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William P. Quinn </w:t>
              <w:br/>
              <w:t>President, Chief Executive Officer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bolt-ex99_1.htm"/>
      <w:bookmarkStart w:id="3" w:name="ksbolt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15811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81150" cy="704850"/>
                    </a:xfrm>
                    <a:prstGeom prst="rect">
                      <a:avLst/>
                    </a:prstGeom>
                  </pic:spPr>
                </pic:pic>
              </a:graphicData>
            </a:graphic>
          </wp:inline>
        </w:drawing>
      </w:r>
    </w:p>
    <w:p>
      <w:pPr>
        <w:pStyle w:val="TextBody"/>
        <w:bidi w:val="0"/>
        <w:spacing w:before="220" w:after="283"/>
        <w:jc w:val="center"/>
        <w:rPr>
          <w:rFonts w:ascii="sans-serif" w:hAnsi="sans-serif"/>
          <w:b/>
          <w:color w:val="000000"/>
          <w:sz w:val="28"/>
        </w:rPr>
      </w:pPr>
      <w:r>
        <w:rPr>
          <w:rFonts w:ascii="sans-serif" w:hAnsi="sans-serif"/>
          <w:b/>
          <w:color w:val="000000"/>
          <w:sz w:val="28"/>
        </w:rPr>
        <w:t>Bolt Biotherapeutics Reports Second Quarter 2026 Financial Results and Provides Business Update</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First-in-class immune-stimulating antibody conjugate BDC-4182 Phase 1/2 study ongoing, initial clinical data expected to be released with Bolt's 3Q 2026 results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Cash balance of $18.1 million as of June 30, 2026 anticipated to fund operations into 1Q 2027</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2"/>
        </w:rPr>
        <w:t xml:space="preserve">REDWOOD CITY, CA, August 11, 2026 </w:t>
      </w:r>
      <w:r>
        <w:rPr>
          <w:rFonts w:ascii="Times New Roman" w:hAnsi="Times New Roman"/>
          <w:color w:val="000000"/>
          <w:sz w:val="20"/>
        </w:rPr>
        <w:t xml:space="preserve">– </w:t>
      </w:r>
      <w:r>
        <w:rPr>
          <w:rFonts w:ascii="sans-serif" w:hAnsi="sans-serif"/>
          <w:color w:val="000000"/>
          <w:sz w:val="22"/>
        </w:rPr>
        <w:t>Bolt Biotherapeutics (Nasdaq: BOLT), a clinical-stage biopharmaceutical company developing novel immunotherapies for the treatment of cancer, today reported financial results for the second quarter ended June 30, 2026, and provided a business update.</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r>
        <w:rPr>
          <w:rFonts w:ascii="sans-serif" w:hAnsi="sans-serif"/>
          <w:color w:val="000000"/>
          <w:sz w:val="22"/>
        </w:rPr>
        <w:t>In the second quarter, we continued to make meaningful progress in the ongoing BDC-4182 Phase 1/2 study in patients with gastric and gastroesophageal cancer. We are currently treating patients in Cohort 4. To date, BDC-4182 has been well tolerated, and we are seeing activity consistent with our immune-stimulating mechanism,” said Willie Quinn, President and Chief Executive Officer. “We expect to report initial clinical data from BDC-4182 with our third quarter 2026 results.”</w:t>
      </w:r>
    </w:p>
    <w:p>
      <w:pPr>
        <w:pStyle w:val="TextBody"/>
        <w:bidi w:val="0"/>
        <w:spacing w:before="60" w:after="283"/>
        <w:jc w:val="left"/>
        <w:rPr>
          <w:rFonts w:ascii="Times New Roman" w:hAnsi="Times New Roman"/>
          <w:sz w:val="20"/>
        </w:rPr>
      </w:pPr>
      <w:r>
        <w:rPr>
          <w:rFonts w:ascii="sans-serif" w:hAnsi="sans-serif"/>
          <w:b/>
          <w:color w:val="0A0A0A"/>
          <w:sz w:val="22"/>
        </w:rPr>
        <w:t>Recent Highlights and Anticipated Milestones</w:t>
      </w:r>
      <w:r>
        <w:rPr>
          <w:rFonts w:ascii="Times New Roman" w:hAnsi="Times New Roman"/>
          <w:color w:val="0A0A0A"/>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Initial clinical data from BDC-4182 Phase 1/2 study for patients with gastric and gastroesophageal cancer</w:t>
      </w:r>
      <w:r>
        <w:rPr>
          <w:color w:val="242424"/>
        </w:rPr>
        <w:t xml:space="preserve"> </w:t>
      </w:r>
      <w:r>
        <w:rPr>
          <w:rFonts w:ascii="sans-serif" w:hAnsi="sans-serif"/>
          <w:b/>
          <w:color w:val="242424"/>
          <w:sz w:val="22"/>
        </w:rPr>
        <w:t>expected with third quarter 2026 results.</w:t>
      </w:r>
      <w:r>
        <w:rPr>
          <w:color w:val="242424"/>
        </w:rPr>
        <w:t xml:space="preserve"> </w:t>
      </w:r>
      <w:r>
        <w:rPr>
          <w:rFonts w:ascii="sans-serif" w:hAnsi="sans-serif"/>
          <w:color w:val="242424"/>
          <w:sz w:val="22"/>
        </w:rPr>
        <w:t>BDC-4182 is a next-generation Boltbody</w:t>
      </w:r>
      <w:r>
        <w:rPr>
          <w:rFonts w:ascii="sans-serif" w:hAnsi="sans-serif"/>
          <w:color w:val="242424"/>
          <w:sz w:val="15"/>
        </w:rPr>
        <w:t>TM</w:t>
      </w:r>
      <w:r>
        <w:rPr>
          <w:color w:val="242424"/>
        </w:rPr>
        <w:t xml:space="preserve"> </w:t>
      </w:r>
      <w:r>
        <w:rPr>
          <w:rFonts w:ascii="sans-serif" w:hAnsi="sans-serif"/>
          <w:color w:val="242424"/>
          <w:sz w:val="22"/>
        </w:rPr>
        <w:t xml:space="preserve">ISAC targeting claudin 18.2, a clinically validated target with expression in gastric cancer, gastroesophageal junction cancer, pancreatic cancer, and other tumor types. In preclinical models, including cancer models with low claudin 18.2 expression, BDC-4182 demonstrated significant anti-tumor activity, induced immunological memory, and outperformed cytotoxic ADCs. Bolt has implemented step-up dosing, which has been successfully used commercially for T-cell engagers, as a strategy to get to higher doses safely. The clinical trial in gastric and gastroesophageal cancers is progressing well with ongoing treatment of patients in Cohort 4 at the 4.0 mg/kg dose level.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Cash, cash equivalents, and marketable securities were $18.1 million as of June 30, 2026 .</w:t>
      </w:r>
      <w:r>
        <w:rPr>
          <w:color w:val="000000"/>
        </w:rPr>
        <w:t xml:space="preserve"> </w:t>
      </w:r>
      <w:r>
        <w:rPr>
          <w:rFonts w:ascii="sans-serif" w:hAnsi="sans-serif"/>
          <w:color w:val="000000"/>
          <w:sz w:val="22"/>
        </w:rPr>
        <w:t>Cash on hand is expected to fund operations into first quarter 2027.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sz w:val="20"/>
        </w:rPr>
      </w:pPr>
      <w:r>
        <w:rPr>
          <w:rFonts w:ascii="sans-serif" w:hAnsi="sans-serif"/>
          <w:b/>
          <w:color w:val="000000"/>
          <w:sz w:val="22"/>
        </w:rPr>
        <w:t xml:space="preserve">Second Quarter 2026 </w:t>
      </w:r>
      <w:r>
        <w:rPr>
          <w:rFonts w:ascii="sans-serif" w:hAnsi="sans-serif"/>
          <w:b/>
          <w:color w:val="0A0A0A"/>
          <w:sz w:val="22"/>
        </w:rPr>
        <w:t>Financial Results</w:t>
      </w:r>
    </w:p>
    <w:p>
      <w:pPr>
        <w:pStyle w:val="TextBody"/>
        <w:bidi w:val="0"/>
        <w:spacing w:before="120" w:after="283"/>
        <w:jc w:val="left"/>
        <w:rPr>
          <w:color w:val="0A0A0A"/>
        </w:rPr>
      </w:pPr>
      <w:r>
        <w:rPr>
          <w:color w:val="0A0A0A"/>
        </w:rPr>
        <w:t>•</w:t>
      </w:r>
    </w:p>
    <w:p>
      <w:pPr>
        <w:pStyle w:val="TextBody"/>
        <w:bidi w:val="0"/>
        <w:spacing w:before="120" w:after="283"/>
        <w:jc w:val="left"/>
        <w:rPr/>
      </w:pPr>
      <w:r>
        <w:rPr>
          <w:rFonts w:ascii="sans-serif" w:hAnsi="sans-serif"/>
          <w:b/>
          <w:color w:val="0A0A0A"/>
          <w:sz w:val="22"/>
        </w:rPr>
        <w:t>Collaboration Revenue –</w:t>
      </w:r>
      <w:r>
        <w:rPr>
          <w:color w:val="0A0A0A"/>
        </w:rPr>
        <w:t xml:space="preserve"> </w:t>
      </w:r>
      <w:r>
        <w:rPr>
          <w:rFonts w:ascii="sans-serif" w:hAnsi="sans-serif"/>
          <w:color w:val="0A0A0A"/>
          <w:sz w:val="22"/>
        </w:rPr>
        <w:t xml:space="preserve">Total collaboration revenue was $5,000 for the quarter ended </w:t>
      </w:r>
      <w:r>
        <w:rPr>
          <w:rFonts w:ascii="sans-serif" w:hAnsi="sans-serif"/>
          <w:color w:val="000000"/>
          <w:sz w:val="22"/>
        </w:rPr>
        <w:t>June 30, 2026</w:t>
      </w:r>
      <w:r>
        <w:rPr>
          <w:rFonts w:ascii="sans-serif" w:hAnsi="sans-serif"/>
          <w:color w:val="0A0A0A"/>
          <w:sz w:val="22"/>
        </w:rPr>
        <w:t xml:space="preserve">, compared to $1.8 million for the same quarter in 2025. Revenue in the comparative periods was generated from services performed under the R&amp;D collaborations as we fulfill our performance obligations. </w:t>
      </w:r>
    </w:p>
    <w:p>
      <w:pPr>
        <w:pStyle w:val="TextBody"/>
        <w:bidi w:val="0"/>
        <w:spacing w:before="120" w:after="283"/>
        <w:jc w:val="left"/>
        <w:rPr>
          <w:color w:val="0A0A0A"/>
        </w:rPr>
      </w:pPr>
      <w:r>
        <w:rPr>
          <w:color w:val="0A0A0A"/>
        </w:rPr>
        <w:t>•</w:t>
      </w:r>
    </w:p>
    <w:p>
      <w:pPr>
        <w:pStyle w:val="TextBody"/>
        <w:bidi w:val="0"/>
        <w:spacing w:before="120" w:after="283"/>
        <w:jc w:val="left"/>
        <w:rPr/>
      </w:pPr>
      <w:r>
        <w:rPr>
          <w:rFonts w:ascii="sans-serif" w:hAnsi="sans-serif"/>
          <w:b/>
          <w:color w:val="0A0A0A"/>
          <w:sz w:val="22"/>
        </w:rPr>
        <w:t>Research and Development (R&amp;D) Expenses –</w:t>
      </w:r>
      <w:r>
        <w:rPr>
          <w:color w:val="0A0A0A"/>
        </w:rPr>
        <w:t xml:space="preserve"> </w:t>
      </w:r>
      <w:r>
        <w:rPr>
          <w:rFonts w:ascii="sans-serif" w:hAnsi="sans-serif"/>
          <w:color w:val="0A0A0A"/>
          <w:sz w:val="22"/>
        </w:rPr>
        <w:t xml:space="preserve">R&amp;D expenses were $5.1 million for the quarter ended </w:t>
      </w:r>
      <w:r>
        <w:rPr>
          <w:rFonts w:ascii="sans-serif" w:hAnsi="sans-serif"/>
          <w:color w:val="000000"/>
          <w:sz w:val="22"/>
        </w:rPr>
        <w:t>June 30, 2026</w:t>
      </w:r>
      <w:r>
        <w:rPr>
          <w:rFonts w:ascii="sans-serif" w:hAnsi="sans-serif"/>
          <w:color w:val="0A0A0A"/>
          <w:sz w:val="22"/>
        </w:rPr>
        <w:t xml:space="preserve">, compared to $7.5 million for the same quarter in 2025. The decrease between the comparable periods was mainly due to a decrease in salary and related expenses primarily as a result of our restructuring and overall lower research and development activities. </w:t>
      </w:r>
    </w:p>
    <w:p>
      <w:pPr>
        <w:pStyle w:val="TextBody"/>
        <w:bidi w:val="0"/>
        <w:spacing w:before="120" w:after="283"/>
        <w:jc w:val="left"/>
        <w:rPr>
          <w:color w:val="0A0A0A"/>
        </w:rPr>
      </w:pPr>
      <w:r>
        <w:rPr>
          <w:color w:val="0A0A0A"/>
        </w:rPr>
        <w:t>•</w:t>
      </w:r>
    </w:p>
    <w:p>
      <w:pPr>
        <w:pStyle w:val="TextBody"/>
        <w:bidi w:val="0"/>
        <w:spacing w:before="120" w:after="283"/>
        <w:jc w:val="left"/>
        <w:rPr/>
      </w:pPr>
      <w:r>
        <w:rPr>
          <w:rFonts w:ascii="sans-serif" w:hAnsi="sans-serif"/>
          <w:b/>
          <w:color w:val="0A0A0A"/>
          <w:sz w:val="22"/>
        </w:rPr>
        <w:t>General and Administrative (G&amp;A) Expenses –</w:t>
      </w:r>
      <w:r>
        <w:rPr>
          <w:color w:val="0A0A0A"/>
        </w:rPr>
        <w:t xml:space="preserve"> </w:t>
      </w:r>
      <w:r>
        <w:rPr>
          <w:rFonts w:ascii="sans-serif" w:hAnsi="sans-serif"/>
          <w:color w:val="0A0A0A"/>
          <w:sz w:val="22"/>
        </w:rPr>
        <w:t xml:space="preserve">G&amp;A expenses were $2.4 million for the quarter ended </w:t>
      </w:r>
      <w:r>
        <w:rPr>
          <w:rFonts w:ascii="sans-serif" w:hAnsi="sans-serif"/>
          <w:color w:val="000000"/>
          <w:sz w:val="22"/>
        </w:rPr>
        <w:t>June 30, 2026</w:t>
      </w:r>
      <w:r>
        <w:rPr>
          <w:rFonts w:ascii="sans-serif" w:hAnsi="sans-serif"/>
          <w:color w:val="0A0A0A"/>
          <w:sz w:val="22"/>
        </w:rPr>
        <w:t>, compared to $3.5 million for the same quarter in 2025. The decrease between the comparable periods was mainly due to a decrease in salary and related expenses primarily as a result of our restructuring as well as lower consulting expenses.</w:t>
      </w:r>
    </w:p>
    <w:p>
      <w:pPr>
        <w:pStyle w:val="TextBody"/>
        <w:bidi w:val="0"/>
        <w:spacing w:before="120" w:after="283"/>
        <w:jc w:val="left"/>
        <w:rPr>
          <w:color w:val="0A0A0A"/>
        </w:rPr>
      </w:pPr>
      <w:r>
        <w:rPr>
          <w:color w:val="0A0A0A"/>
        </w:rPr>
        <w:t>•</w:t>
      </w:r>
    </w:p>
    <w:p>
      <w:pPr>
        <w:pStyle w:val="TextBody"/>
        <w:bidi w:val="0"/>
        <w:spacing w:before="120" w:after="283"/>
        <w:jc w:val="left"/>
        <w:rPr/>
      </w:pPr>
      <w:r>
        <w:rPr>
          <w:rFonts w:ascii="sans-serif" w:hAnsi="sans-serif"/>
          <w:b/>
          <w:color w:val="0A0A0A"/>
          <w:sz w:val="22"/>
        </w:rPr>
        <w:t xml:space="preserve">Loss from Operations – </w:t>
      </w:r>
      <w:r>
        <w:rPr>
          <w:rFonts w:ascii="sans-serif" w:hAnsi="sans-serif"/>
          <w:color w:val="0A0A0A"/>
          <w:sz w:val="22"/>
        </w:rPr>
        <w:t xml:space="preserve">Loss from operations was $8.4 million for the quarter ended </w:t>
      </w:r>
      <w:r>
        <w:rPr>
          <w:rFonts w:ascii="sans-serif" w:hAnsi="sans-serif"/>
          <w:color w:val="000000"/>
          <w:sz w:val="22"/>
        </w:rPr>
        <w:t>June 30, 2026</w:t>
      </w:r>
      <w:r>
        <w:rPr>
          <w:rFonts w:ascii="sans-serif" w:hAnsi="sans-serif"/>
          <w:color w:val="0A0A0A"/>
          <w:sz w:val="22"/>
        </w:rPr>
        <w:t>, compared to $9.2 million for the same quarter in 2025</w:t>
      </w:r>
      <w:r>
        <w:rPr>
          <w:rFonts w:ascii="sans-serif" w:hAnsi="sans-serif"/>
          <w:color w:val="000000"/>
          <w:sz w:val="22"/>
        </w:rPr>
        <w:t>.</w:t>
      </w:r>
      <w:r>
        <w:rPr>
          <w:color w:val="0A0A0A"/>
        </w:rPr>
        <w:t xml:space="preserve"> </w:t>
      </w:r>
    </w:p>
    <w:p>
      <w:pPr>
        <w:pStyle w:val="TextBody"/>
        <w:bidi w:val="0"/>
        <w:spacing w:before="220" w:after="283"/>
        <w:jc w:val="left"/>
        <w:rPr>
          <w:rFonts w:ascii="Times New Roman" w:hAnsi="Times New Roman"/>
          <w:sz w:val="20"/>
        </w:rPr>
      </w:pPr>
      <w:r>
        <w:rPr>
          <w:rFonts w:ascii="sans-serif" w:hAnsi="sans-serif"/>
          <w:b/>
          <w:color w:val="000000"/>
          <w:sz w:val="22"/>
        </w:rPr>
        <w:t>About the Boltbody Immune-Stimulating Antibody Conjugate (ISAC) Platform</w:t>
      </w:r>
      <w:r>
        <w:rPr>
          <w:rFonts w:ascii="sans-serif" w:hAnsi="sans-serif"/>
          <w:color w:val="000000"/>
          <w:sz w:val="22"/>
        </w:rPr>
        <w:br/>
        <w:t>Bolt Biotherapeutics’ Boltbody ISAC platform harnesses the precision of antibodies with the power of the innate and adaptive immune system to generate a productive anti-cancer response. Each Boltbody ISAC candidate comprises a tumor-targeting antibody, a non-cleavable linker, and a proprietary immune stimulant. The antibody is designed to target one or more markers on the surface of a tumor cell and the immune stimulant is designed to recruit and activate myeloid cells. Activated myeloid cells initiate a positive feedback loop by releasing cytokines and chemokines, chemical signals that attract other immune cells and lower the activation threshold for an immune response. This increases the population of activated immune system cells in the tumor microenvironment and promotes a robust immune response with the goal of generating durable therapeutic responses for patients with cancer.</w:t>
      </w:r>
    </w:p>
    <w:p>
      <w:pPr>
        <w:pStyle w:val="TextBody"/>
        <w:bidi w:val="0"/>
        <w:spacing w:before="220" w:after="283"/>
        <w:jc w:val="left"/>
        <w:rPr>
          <w:rFonts w:ascii="Times New Roman" w:hAnsi="Times New Roman"/>
          <w:sz w:val="20"/>
        </w:rPr>
      </w:pPr>
      <w:r>
        <w:rPr>
          <w:rFonts w:ascii="sans-serif" w:hAnsi="sans-serif"/>
          <w:b/>
          <w:color w:val="000000"/>
          <w:sz w:val="22"/>
        </w:rPr>
        <w:t>About Bolt Biotherapeutics,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Bolt Biotherapeutics is a clinical-stage biopharmaceutical company developing novel immunotherapies for the treatment of cancer. Bolt Biotherapeutics’ pipeline reflects the Company’s expertise in myeloid biology and cancer drug development. The Company’s lead program is BDC-4182, a next-generation Boltbody Immune-Stimulating Antibody Conjugate (ISAC) clinical candidate targeting claudin 18.2. BDC-4182 is currently in a Phase 1/2 trial that includes patients with gastric and gastroesophageal cancer. The Company has strategic collaborations with Genmab and Toray built around the Company’s Boltbody ISAC platform technology. The rest of the Company’s pipeline is currently on hold, including BDC-3042, a Dectin-2 agonist that completed a first-in-human Phase 1 dose escalation trial, as well as its preclinical ISAC programs targeting CEA and PD-L1. For more information, please visit </w:t>
      </w:r>
      <w:r>
        <w:rPr>
          <w:rFonts w:ascii="sans-serif" w:hAnsi="sans-serif"/>
          <w:color w:val="0000FF"/>
          <w:sz w:val="22"/>
          <w:u w:val="single"/>
        </w:rPr>
        <w:t>https://www.boltbio.com/</w:t>
      </w:r>
      <w:r>
        <w:rPr>
          <w:rFonts w:ascii="sans-serif" w:hAnsi="sans-serif"/>
          <w:color w:val="000000"/>
          <w:sz w:val="22"/>
        </w:rPr>
        <w:t>.</w:t>
      </w:r>
    </w:p>
    <w:p>
      <w:pPr>
        <w:pStyle w:val="TextBody"/>
        <w:bidi w:val="0"/>
        <w:spacing w:before="220" w:after="283"/>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Times New Roman" w:hAnsi="Times New Roman"/>
          <w:sz w:val="20"/>
        </w:rPr>
      </w:pPr>
      <w:r>
        <w:rPr>
          <w:rFonts w:ascii="sans-serif" w:hAnsi="sans-serif"/>
          <w:color w:val="000000"/>
          <w:sz w:val="22"/>
        </w:rPr>
        <w:t>This press release contains forward-looking statements about us and our industry that involve substantial risks and uncertainties and are based on our beliefs and assumptions and on information currently available to us. All statements other than statements of historical facts contained in this press release, including statements regarding our ability to partner our CEA ISAC and PD-L1 ISAC, the advancement and success of our BDC-4182 clinical trials, the timing of initial data from our Phase 1 dose-escalation study of BDC-4182, the timing of our ISAC programs, the anti-tumor potency, safety and tolerability, and characteristics of our product candidates, the initiation of future clinical trials, the potential value of collaborations, and the expected duration of our cash runway and ability to fund key milestones into first quarter 2027, are forward-looking statements. In some cases, you can identify forward-looking statements because they contain words such as “anticipate,” “believe,”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could,” “estimate,” “expect,” “intend,” “may,” “on track,” “plan,” “potential,” “predict,” “project,” “should,” “will,” or “would,” or the negative of these words or other similar terms or expressions.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current beliefs, estimates and assumptions only as of the date of this press release and information contained in this press release should not be relied upon as representing our estimates as of any subsequent date. These statements, and related risks, uncertainties, factors and assumptions, include, but are not limited to: the potential product candidates that we develop may not progress through clinical development or receive required regulatory approvals within expected timelines or at all; clinical trials may not confirm any safety, potency or other product characteristics described or assumed in this press release; such product candidates may not be beneficial to patients or become commercialized; and our ability to maintain our current collaborations and establish further collaborations. 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 Further information on factors that could cause actual results to differ materially from the results anticipated by our forward-looking statements is included in the reports we have filed or will file with the Securities and Exchange Commission, including our Annual Report on Form 10-K and Quarterly Reports on Form 10-Q. These filings, when available, are available on the investor relations section of our website at investors.boltbio.com and on the SEC’s website at www.sec.gov.</w:t>
      </w:r>
    </w:p>
    <w:p>
      <w:pPr>
        <w:pStyle w:val="TextBody"/>
        <w:bidi w:val="0"/>
        <w:spacing w:before="220" w:after="283"/>
        <w:jc w:val="left"/>
        <w:rPr>
          <w:rFonts w:ascii="Times New Roman" w:hAnsi="Times New Roman"/>
          <w:sz w:val="20"/>
        </w:rPr>
      </w:pPr>
      <w:r>
        <w:rPr>
          <w:rFonts w:ascii="sans-serif" w:hAnsi="sans-serif"/>
          <w:b/>
          <w:color w:val="000000"/>
          <w:sz w:val="22"/>
        </w:rPr>
        <w:t>Investor Relations and 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Matthew DeYoung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Argot Partners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(212) 600-1902</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FF"/>
          <w:sz w:val="22"/>
          <w:u w:val="single"/>
        </w:rPr>
        <w:t>boltbio@argotpartners.com</w:t>
      </w:r>
      <w:r>
        <w:rPr>
          <w:rFonts w:ascii="Times New Roman" w:hAnsi="Times New Roman"/>
          <w:color w:val="0000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 in thousands, except share and per share amounts)</w:t>
      </w:r>
    </w:p>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4164"/>
        <w:gridCol w:w="146"/>
        <w:gridCol w:w="211"/>
        <w:gridCol w:w="931"/>
        <w:gridCol w:w="166"/>
        <w:gridCol w:w="146"/>
        <w:gridCol w:w="211"/>
        <w:gridCol w:w="931"/>
        <w:gridCol w:w="166"/>
        <w:gridCol w:w="146"/>
        <w:gridCol w:w="211"/>
        <w:gridCol w:w="931"/>
        <w:gridCol w:w="166"/>
        <w:gridCol w:w="146"/>
        <w:gridCol w:w="211"/>
        <w:gridCol w:w="931"/>
        <w:gridCol w:w="39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1,917,288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 in thousands)</w:t>
      </w:r>
    </w:p>
    <w:tbl>
      <w:tblPr>
        <w:tblW w:w="6422" w:type="dxa"/>
        <w:jc w:val="left"/>
        <w:tblInd w:w="0" w:type="dxa"/>
        <w:tblLayout w:type="fixed"/>
        <w:tblCellMar>
          <w:top w:w="28" w:type="dxa"/>
          <w:left w:w="28" w:type="dxa"/>
          <w:bottom w:w="28" w:type="dxa"/>
          <w:right w:w="28" w:type="dxa"/>
        </w:tblCellMar>
      </w:tblPr>
      <w:tblGrid>
        <w:gridCol w:w="3531"/>
        <w:gridCol w:w="146"/>
        <w:gridCol w:w="196"/>
        <w:gridCol w:w="751"/>
        <w:gridCol w:w="166"/>
        <w:gridCol w:w="146"/>
        <w:gridCol w:w="226"/>
        <w:gridCol w:w="869"/>
        <w:gridCol w:w="3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(460,779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 in thousands)</w:t>
      </w:r>
    </w:p>
    <w:tbl>
      <w:tblPr>
        <w:tblW w:w="8046" w:type="dxa"/>
        <w:jc w:val="left"/>
        <w:tblInd w:w="0" w:type="dxa"/>
        <w:tblLayout w:type="fixed"/>
        <w:tblCellMar>
          <w:top w:w="28" w:type="dxa"/>
          <w:left w:w="28" w:type="dxa"/>
          <w:bottom w:w="28" w:type="dxa"/>
          <w:right w:w="28" w:type="dxa"/>
        </w:tblCellMar>
      </w:tblPr>
      <w:tblGrid>
        <w:gridCol w:w="5221"/>
        <w:gridCol w:w="146"/>
        <w:gridCol w:w="200"/>
        <w:gridCol w:w="675"/>
        <w:gridCol w:w="169"/>
        <w:gridCol w:w="149"/>
        <w:gridCol w:w="200"/>
        <w:gridCol w:w="675"/>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14,598</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14,598</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2388</Words>
  <Characters>13668</Characters>
  <CharactersWithSpaces>16260</CharactersWithSpaces>
  <Paragraphs>1027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