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olt-20261001.htm"/>
      <w:bookmarkStart w:id="1" w:name="ksbolt2026100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BOLT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001-39988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 Chesapeake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665-9295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b/>
          <w:i/>
          <w:color w:val="000000"/>
          <w:sz w:val="20"/>
        </w:rPr>
      </w:pPr>
      <w:r>
        <w:rPr>
          <w:rFonts w:ascii="Times New Roman" w:hAnsi="Times New Roman"/>
          <w:b/>
          <w:i/>
          <w:color w:val="000000"/>
          <w:sz w:val="20"/>
        </w:rPr>
        <w:t>Lease Agreement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2026, Bolt Biotherapeutics, Inc. (the “Company”) entered into the Second Amendment to Lease (the “Second Lease Amendment”) with HCP LS Redwood City LLC, as landlord (the “Landlord”). The Second Lease Amendment amends that certain lease agreement, dated August 7, 2020, as previously amended (the “Chesapeake Master Lease”), by and between the Landlord and the Company, relating to the Company’s corporate office, laboratory and vivarium facilities located at 800 and 900 Chesapeake Drive, Redwood City, California (collectively, the “Premises”).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execution of the Second Lease Amendment, the Company paid the Landlord $1.0 million and acknowledged, and agreed, that the Landlord has the right to draw the existing $1.5 million letter of credit in its entirety. The Company and the Landlord also agreed to an accelerated lease expiration date of December 31, 2027, or earlier following the closing of a financing or other strategic transaction of the Company (a "Corporate Transaction"). The Second Lease Amendment provides that, upon the closing of a Corporate Transaction, the Company will pay the Landlord an additional $4.5 million termination payment (the “Termination Payment”). Effective October 1, 2026, the Company's ongoing rent and operating expense obligations for the Premises are not significant. The Company will continue to maintain its existing sublease arrangements with respect to portions of the 800 Building and will remit to the Landlord 100% of the sublease rent and common area maintenance payments received from each subtenant.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evaluating the accounting effects of the Second Lease Amendment. The foregoing description of the Second Lease Amendment does not purport to be complete and is qualified in its entirety by reference to the Second Lease Amendment, which will be filed as an exhibit to the Company’s Annual Report on Form 10-K for the year ending December 31,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579" w:type="dxa"/>
        <w:jc w:val="left"/>
        <w:tblInd w:w="0" w:type="dxa"/>
        <w:tblLayout w:type="fixed"/>
        <w:tblCellMar>
          <w:top w:w="28" w:type="dxa"/>
          <w:left w:w="28" w:type="dxa"/>
          <w:bottom w:w="28" w:type="dxa"/>
          <w:right w:w="28" w:type="dxa"/>
        </w:tblCellMar>
      </w:tblPr>
      <w:tblGrid>
        <w:gridCol w:w="556"/>
        <w:gridCol w:w="1411"/>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William P. Quinn</w:t>
              <w:br/>
              <w:t>President, Chief Executive Officer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3696</Characters>
  <CharactersWithSpaces>4357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