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gif" ContentType="image/gif"/>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olt-20261023.htm"/>
      <w:bookmarkStart w:id="1" w:name="ksbolt20261023"/>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BOLT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001-39988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47-2804636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 Chesapeake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Redwood City,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665-9295</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BOLT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1.01 - Entry into a Material Definitive Agreement.</w:t>
      </w:r>
    </w:p>
    <w:p>
      <w:pPr>
        <w:pStyle w:val="TextBody"/>
        <w:bidi w:val="0"/>
        <w:jc w:val="left"/>
        <w:rPr>
          <w:rFonts w:ascii="Times New Roman" w:hAnsi="Times New Roman"/>
          <w:b/>
          <w:color w:val="000000"/>
          <w:sz w:val="20"/>
        </w:rPr>
      </w:pPr>
      <w:r>
        <w:rPr>
          <w:rFonts w:ascii="Times New Roman" w:hAnsi="Times New Roman"/>
          <w:b/>
          <w:color w:val="000000"/>
          <w:sz w:val="20"/>
        </w:rPr>
        <w:t>Agreement and Plan of Merger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October 23, 2026, Bolt Biotherapeutics, Inc., a Delaware corporation (the “</w:t>
      </w:r>
      <w:r>
        <w:rPr>
          <w:rFonts w:ascii="Times New Roman" w:hAnsi="Times New Roman"/>
          <w:b/>
          <w:i/>
          <w:color w:val="000000"/>
          <w:sz w:val="20"/>
        </w:rPr>
        <w:t>Company</w:t>
      </w:r>
      <w:r>
        <w:rPr>
          <w:rFonts w:ascii="Times New Roman" w:hAnsi="Times New Roman"/>
          <w:color w:val="000000"/>
          <w:sz w:val="20"/>
        </w:rPr>
        <w:t>” or “</w:t>
      </w:r>
      <w:r>
        <w:rPr>
          <w:rFonts w:ascii="Times New Roman" w:hAnsi="Times New Roman"/>
          <w:b/>
          <w:i/>
          <w:color w:val="000000"/>
          <w:sz w:val="20"/>
        </w:rPr>
        <w:t>Bolt</w:t>
      </w:r>
      <w:r>
        <w:rPr>
          <w:rFonts w:ascii="Times New Roman" w:hAnsi="Times New Roman"/>
          <w:color w:val="000000"/>
          <w:sz w:val="20"/>
        </w:rPr>
        <w:t>”), acquired Prana Therapies, Inc., a Delaware corporation (“</w:t>
      </w:r>
      <w:r>
        <w:rPr>
          <w:rFonts w:ascii="Times New Roman" w:hAnsi="Times New Roman"/>
          <w:b/>
          <w:i/>
          <w:color w:val="000000"/>
          <w:sz w:val="20"/>
        </w:rPr>
        <w:t>Prana</w:t>
      </w:r>
      <w:r>
        <w:rPr>
          <w:rFonts w:ascii="Times New Roman" w:hAnsi="Times New Roman"/>
          <w:color w:val="000000"/>
          <w:sz w:val="20"/>
        </w:rPr>
        <w:t>”), in accordance with the terms of the Agreement and Plan of Merger, dated October 23, 2026 (the “</w:t>
      </w:r>
      <w:r>
        <w:rPr>
          <w:rFonts w:ascii="Times New Roman" w:hAnsi="Times New Roman"/>
          <w:b/>
          <w:i/>
          <w:color w:val="000000"/>
          <w:sz w:val="20"/>
        </w:rPr>
        <w:t>Merger Agreement</w:t>
      </w:r>
      <w:r>
        <w:rPr>
          <w:rFonts w:ascii="Times New Roman" w:hAnsi="Times New Roman"/>
          <w:color w:val="000000"/>
          <w:sz w:val="20"/>
        </w:rPr>
        <w:t>”), by and among the Company, Prince Merger Sub I, Inc., a Delaware corporation and a wholly owned subsidiary of the Company (“</w:t>
      </w:r>
      <w:r>
        <w:rPr>
          <w:rFonts w:ascii="Times New Roman" w:hAnsi="Times New Roman"/>
          <w:b/>
          <w:i/>
          <w:color w:val="000000"/>
          <w:sz w:val="20"/>
        </w:rPr>
        <w:t>First Merger Sub</w:t>
      </w:r>
      <w:r>
        <w:rPr>
          <w:rFonts w:ascii="Times New Roman" w:hAnsi="Times New Roman"/>
          <w:color w:val="000000"/>
          <w:sz w:val="20"/>
        </w:rPr>
        <w:t>”), Prince Merger Sub II, LLC, a Delaware limited liability company and wholly owned subsidiary of the Company (“</w:t>
      </w:r>
      <w:r>
        <w:rPr>
          <w:rFonts w:ascii="Times New Roman" w:hAnsi="Times New Roman"/>
          <w:b/>
          <w:i/>
          <w:color w:val="000000"/>
          <w:sz w:val="20"/>
        </w:rPr>
        <w:t>Second Merger Sub</w:t>
      </w:r>
      <w:r>
        <w:rPr>
          <w:rFonts w:ascii="Times New Roman" w:hAnsi="Times New Roman"/>
          <w:color w:val="000000"/>
          <w:sz w:val="20"/>
        </w:rPr>
        <w:t>”), and Prana. Pursuant to the Merger Agreement, First Merger Sub merged with and into Prana, pursuant to which Prana was the surviving corporation and became a wholly owned subsidiary of the Company (the “</w:t>
      </w:r>
      <w:r>
        <w:rPr>
          <w:rFonts w:ascii="Times New Roman" w:hAnsi="Times New Roman"/>
          <w:b/>
          <w:i/>
          <w:color w:val="000000"/>
          <w:sz w:val="20"/>
        </w:rPr>
        <w:t>First Merger</w:t>
      </w:r>
      <w:r>
        <w:rPr>
          <w:rFonts w:ascii="Times New Roman" w:hAnsi="Times New Roman"/>
          <w:color w:val="000000"/>
          <w:sz w:val="20"/>
        </w:rPr>
        <w:t>” and the time at which the First Merger becomes effective, the “</w:t>
      </w:r>
      <w:r>
        <w:rPr>
          <w:rFonts w:ascii="Times New Roman" w:hAnsi="Times New Roman"/>
          <w:b/>
          <w:i/>
          <w:color w:val="000000"/>
          <w:sz w:val="20"/>
        </w:rPr>
        <w:t>First Effective Time</w:t>
      </w:r>
      <w:r>
        <w:rPr>
          <w:rFonts w:ascii="Times New Roman" w:hAnsi="Times New Roman"/>
          <w:color w:val="000000"/>
          <w:sz w:val="20"/>
        </w:rPr>
        <w:t>”). Immediately following the First Merger, Prana merged with and into Second Merger Sub, pursuant to which Second Merger Sub was the surviving entity (together with the First Merger, the “</w:t>
      </w:r>
      <w:r>
        <w:rPr>
          <w:rFonts w:ascii="Times New Roman" w:hAnsi="Times New Roman"/>
          <w:b/>
          <w:i/>
          <w:color w:val="000000"/>
          <w:sz w:val="20"/>
        </w:rPr>
        <w:t>Merger</w:t>
      </w:r>
      <w:r>
        <w:rPr>
          <w:rFonts w:ascii="Times New Roman" w:hAnsi="Times New Roman"/>
          <w:color w:val="000000"/>
          <w:sz w:val="20"/>
        </w:rPr>
        <w:t>”). The Merger is intended to qualify as a tax-free reorganization for U.S. federal income tax purposes.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Under the terms of the Merger Agreement, following the closing of the Merger (the “</w:t>
      </w:r>
      <w:r>
        <w:rPr>
          <w:rFonts w:ascii="Times New Roman" w:hAnsi="Times New Roman"/>
          <w:b/>
          <w:i/>
          <w:color w:val="000000"/>
          <w:sz w:val="20"/>
        </w:rPr>
        <w:t>Closing</w:t>
      </w:r>
      <w:r>
        <w:rPr>
          <w:rFonts w:ascii="Times New Roman" w:hAnsi="Times New Roman"/>
          <w:color w:val="000000"/>
          <w:sz w:val="20"/>
        </w:rPr>
        <w:t>”), the Company issued to the stockholders of Prana an aggregate of (i) 430,746 shares of common stock of the Company, par value $0.00001 per share (the “</w:t>
      </w:r>
      <w:r>
        <w:rPr>
          <w:rFonts w:ascii="Times New Roman" w:hAnsi="Times New Roman"/>
          <w:b/>
          <w:i/>
          <w:color w:val="000000"/>
          <w:sz w:val="20"/>
        </w:rPr>
        <w:t>Common Stock</w:t>
      </w:r>
      <w:r>
        <w:rPr>
          <w:rFonts w:ascii="Times New Roman" w:hAnsi="Times New Roman"/>
          <w:color w:val="000000"/>
          <w:sz w:val="20"/>
        </w:rPr>
        <w:t>”), and (ii) 16,360.929 shares of Series D Non-Voting Convertible Preferred Stock, par value $0.00001 per share (the “</w:t>
      </w:r>
      <w:r>
        <w:rPr>
          <w:rFonts w:ascii="Times New Roman" w:hAnsi="Times New Roman"/>
          <w:b/>
          <w:i/>
          <w:color w:val="000000"/>
          <w:sz w:val="20"/>
        </w:rPr>
        <w:t>Series D Preferred Stock</w:t>
      </w:r>
      <w:r>
        <w:rPr>
          <w:rFonts w:ascii="Times New Roman" w:hAnsi="Times New Roman"/>
          <w:color w:val="000000"/>
          <w:sz w:val="20"/>
        </w:rPr>
        <w:t xml:space="preserve">”) (as described below), each share of which is convertible into 1,000 shares of Common Stock, subject to certain conditions described below.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Reference is made to the discussion of the Series D Preferred Stock in Item 5.03 of this Current Report on Form 8-K, which is incorporated into this Item 1.01 by reference.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Shares of Common Stock held by holders thereof immediately prior to the First Effective Time remain outstanding and unaffected by the Merger. Immediately following the consummation of the Merger but prior to giving effect to the Financing (as defined below), assuming the conversion of shares of Series D Preferred Stock issued pursuant to the Merger Agreement into shares of Common Stock, pre-transaction equityholders of the Company hold approximately 11.8% of the issued and outstanding shares of Common Stock and former equityholders of Prana hold approximately 88.2% of the issued and outstanding shares of Common Stock, in each case, calculated on a fully diluted basis using the treasury stock method. Following the consummation of the Financing, assuming the conversion of the PIPE Securities (as defined below) and shares of Series D Preferred Stock issued pursuant to the Merger Agreement into shares of Common Stock, pre-transaction equityholders of the Company will hold approximately 6.9% of the issued and outstanding shares of Common Stock, former equityholders of Prana will hold approximately 51.7% of the issued and outstanding shares of Common Stock and the Investors (as defined below) will hold approximately 41.4% of the issued and outstanding shares of Common Stock, in each case, calculated on a fully diluted basis and, in the case of the Company and Prana, using the treasury stock method.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terms of the Merger Agreement, each option to purchase Prana common stock was assumed by the Company and was converted into an option to purchase Common Stock.</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Pursuant to the Merger Agreement and the Purchase Agreement (as defined below), the Company has agreed to hold one or more stockholders’ meeting(s) to submit the following matters to its stockholders for their consideration: (i) the approval, in accordance with certain of the rules of the Nasdaq Stock Market, LLC (“</w:t>
      </w:r>
      <w:r>
        <w:rPr>
          <w:rFonts w:ascii="Times New Roman" w:hAnsi="Times New Roman"/>
          <w:b/>
          <w:i/>
          <w:color w:val="000000"/>
          <w:sz w:val="20"/>
        </w:rPr>
        <w:t>Nasdaq</w:t>
      </w:r>
      <w:r>
        <w:rPr>
          <w:rFonts w:ascii="Times New Roman" w:hAnsi="Times New Roman"/>
          <w:color w:val="000000"/>
          <w:sz w:val="20"/>
        </w:rPr>
        <w:t>”), of the conversion of the Series D Preferred Stock issued pursuant to the Merger Agreement and the Purchase Agreement into shares of Common Stock (the “</w:t>
      </w:r>
      <w:r>
        <w:rPr>
          <w:rFonts w:ascii="Times New Roman" w:hAnsi="Times New Roman"/>
          <w:b/>
          <w:i/>
          <w:color w:val="000000"/>
          <w:sz w:val="20"/>
        </w:rPr>
        <w:t>Preferred Stock Conversion Proposal</w:t>
      </w:r>
      <w:r>
        <w:rPr>
          <w:rFonts w:ascii="Times New Roman" w:hAnsi="Times New Roman"/>
          <w:color w:val="000000"/>
          <w:sz w:val="20"/>
        </w:rPr>
        <w:t>”), (ii) the approval of the transactions contemplated by the Merger Agreement and the Purchase Agreement in accordance with applicable Nasdaq Listing Rules ((the “</w:t>
      </w:r>
      <w:r>
        <w:rPr>
          <w:rFonts w:ascii="Times New Roman" w:hAnsi="Times New Roman"/>
          <w:b/>
          <w:i/>
          <w:color w:val="000000"/>
          <w:sz w:val="20"/>
        </w:rPr>
        <w:t>Nasdaq Proposals</w:t>
      </w:r>
      <w:r>
        <w:rPr>
          <w:rFonts w:ascii="Times New Roman" w:hAnsi="Times New Roman"/>
          <w:color w:val="000000"/>
          <w:sz w:val="20"/>
        </w:rPr>
        <w:t>”), (iii) to the extent deemed necessary or advisable, an amendment of the Company’s certificate of incorporation to increase the number of authorized shares of Common Stock to a number mutually agreed upon by Prana and the Company (the “</w:t>
      </w:r>
      <w:r>
        <w:rPr>
          <w:rFonts w:ascii="Times New Roman" w:hAnsi="Times New Roman"/>
          <w:b/>
          <w:i/>
          <w:color w:val="000000"/>
          <w:sz w:val="20"/>
        </w:rPr>
        <w:t>Charter Amendment Proposal</w:t>
      </w:r>
      <w:r>
        <w:rPr>
          <w:rFonts w:ascii="Times New Roman" w:hAnsi="Times New Roman"/>
          <w:color w:val="000000"/>
          <w:sz w:val="20"/>
        </w:rPr>
        <w:t>” and, together with the Preferred Stock Conversion Proposal and the Nasdaq Proposals, the “</w:t>
      </w:r>
      <w:r>
        <w:rPr>
          <w:rFonts w:ascii="Times New Roman" w:hAnsi="Times New Roman"/>
          <w:b/>
          <w:i/>
          <w:color w:val="000000"/>
          <w:sz w:val="20"/>
        </w:rPr>
        <w:t>Additional Company Stockholder Matters</w:t>
      </w:r>
      <w:r>
        <w:rPr>
          <w:rFonts w:ascii="Times New Roman" w:hAnsi="Times New Roman"/>
          <w:color w:val="000000"/>
          <w:sz w:val="20"/>
        </w:rPr>
        <w:t>”), (iv) to the extent deemed necessary or advisable by the Company and/or Prana, an amendment to the Company’s certificate of incorporation to effectuate a reverse stock split of all outstanding shares of Common Stock at a reverse stock split ratio of 1:2 to 1:12 (or as otherwise mutually agreed by the Company and Prana) for the purpose of maintaining compliance with Nasdaq listing standards or as otherwise deemed advisable by Prana (the “</w:t>
      </w:r>
      <w:r>
        <w:rPr>
          <w:rFonts w:ascii="Times New Roman" w:hAnsi="Times New Roman"/>
          <w:b/>
          <w:i/>
          <w:color w:val="000000"/>
          <w:sz w:val="20"/>
        </w:rPr>
        <w:t>Initial Company Stockholder Matters</w:t>
      </w:r>
      <w:r>
        <w:rPr>
          <w:rFonts w:ascii="Times New Roman" w:hAnsi="Times New Roman"/>
          <w:color w:val="000000"/>
          <w:sz w:val="20"/>
        </w:rPr>
        <w:t>” and together with the Additional Company Stockholder Matters, the “</w:t>
      </w:r>
      <w:r>
        <w:rPr>
          <w:rFonts w:ascii="Times New Roman" w:hAnsi="Times New Roman"/>
          <w:b/>
          <w:i/>
          <w:color w:val="000000"/>
          <w:sz w:val="20"/>
        </w:rPr>
        <w:t>Company Stockholder Matters</w:t>
      </w:r>
      <w:r>
        <w:rPr>
          <w:rFonts w:ascii="Times New Roman" w:hAnsi="Times New Roman"/>
          <w:color w:val="000000"/>
          <w:sz w:val="20"/>
        </w:rPr>
        <w:t>”), (v) the approval of (A) an equity incentive plan which will provide for new awards for a number of shares of Common Stock, taking into account the advice and recommendations of an independent compensation consultant, and which will include an annual increase pursuant to an “evergreen” provision, taking into account the advice and recommendations of an independent compensation consultant, subject to approval by the board of directors of the Company (the “</w:t>
      </w:r>
      <w:r>
        <w:rPr>
          <w:rFonts w:ascii="Times New Roman" w:hAnsi="Times New Roman"/>
          <w:b/>
          <w:i/>
          <w:color w:val="000000"/>
          <w:sz w:val="20"/>
        </w:rPr>
        <w:t>Board</w:t>
      </w:r>
      <w:r>
        <w:rPr>
          <w:rFonts w:ascii="Times New Roman" w:hAnsi="Times New Roman"/>
          <w:color w:val="000000"/>
          <w:sz w:val="20"/>
        </w:rPr>
        <w:t>”) and (B) an employee stock purchase plan, with a total pool of shares of Common Stock, taking into account the advice and recommendations of an independent compensation consultant, and which will include an annual increase pursuant to an “evergreen” provision, taking into account the advice and recommendations of an independent compensation consultant, subject to approval by the Board (matters contemplated in items (i) to (v) collectively, the “</w:t>
      </w:r>
      <w:r>
        <w:rPr>
          <w:rFonts w:ascii="Times New Roman" w:hAnsi="Times New Roman"/>
          <w:b/>
          <w:i/>
          <w:color w:val="000000"/>
          <w:sz w:val="20"/>
        </w:rPr>
        <w:t>Meeting Proposals</w:t>
      </w:r>
      <w:r>
        <w:rPr>
          <w:rFonts w:ascii="Times New Roman" w:hAnsi="Times New Roman"/>
          <w:color w:val="000000"/>
          <w:sz w:val="20"/>
        </w:rPr>
        <w:t>”) and (vi) of such other changes or approvals as may be mutually agreed by the Company and Prana. In connection with these matters, the Company intends to file with the Securities and Exchange Commission (the “</w:t>
      </w:r>
      <w:r>
        <w:rPr>
          <w:rFonts w:ascii="Times New Roman" w:hAnsi="Times New Roman"/>
          <w:b/>
          <w:i/>
          <w:color w:val="000000"/>
          <w:sz w:val="20"/>
        </w:rPr>
        <w:t>SEC</w:t>
      </w:r>
      <w:r>
        <w:rPr>
          <w:rFonts w:ascii="Times New Roman" w:hAnsi="Times New Roman"/>
          <w:color w:val="000000"/>
          <w:sz w:val="20"/>
        </w:rPr>
        <w:t xml:space="preserve">”) a proxy statement and other relevant materials.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Pursuant to the Merger Agreement, as promptly as practicable following the closing date of the Merger (the “</w:t>
      </w:r>
      <w:r>
        <w:rPr>
          <w:rFonts w:ascii="Times New Roman" w:hAnsi="Times New Roman"/>
          <w:b/>
          <w:i/>
          <w:color w:val="000000"/>
          <w:sz w:val="20"/>
        </w:rPr>
        <w:t>Closing Date</w:t>
      </w:r>
      <w:r>
        <w:rPr>
          <w:rFonts w:ascii="Times New Roman" w:hAnsi="Times New Roman"/>
          <w:color w:val="000000"/>
          <w:sz w:val="20"/>
        </w:rPr>
        <w:t>”) (and in any event within 75 days following the Closing Date), the Company has agreed to prepare and file with the SEC a Registration Statement on Form S-3 (or, if Form S-3 is not then available to the Company, on such form of registration statement as is then available) to register the resale the Common Stock issued pursuant to the Merger Agreement and the shares of Common Stock underlying the Series D Preferred Stock issued pursuant to the Merger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unanimously approved the Merger Agreement and the related transactions, and the consummation of the Merger did not require the approval of the Company stockholders.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foregoing description of the Merger and the Merger Agreement does not purport to be complete and is qualified in its entirety by reference to the Merger Agreement, which is filed as Exhibit 2.1 to this Current Report on Form 8-K and is incorporated herein by reference.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Merger Agreement has been included to provide investors and security holders with information regarding its terms. It is not intended to provide any other factual information about the Company or Prana. The Merger Agreement contains representations, warranties and covenants that the Company and Prana made to each other as of specific dates. The assertions embodied in those representations, warranties and covenants were made solely for purposes of the Merger Agreement between the Company and Prana and may be subject to important qualifications and limitations agreed to by the Company and Prana in connection with negotiating its terms, including being qualified by confidential disclosures exchanged between the parties in connection with the execution of the Merger Agreement. Moreover, the representations and warranties may be subject to a contractual standard of materiality that may be different from what may be viewed as material to investors or securityholders, or may have been used for the purpose of allocating risk between the Company, on the one hand, and Prana, on the other hand, rather than establishing matters as facts. Moreover, information concerning the subject matter of the representations and warranties may change after the date of the Merger Agreement, which subsequent information may or may not be fully reflected in the Company’s public disclosures. For the foregoing reasons, no person should rely on the representations and warranties as statements of factual information at the time they were made or otherwise. </w:t>
      </w:r>
    </w:p>
    <w:p>
      <w:pPr>
        <w:pStyle w:val="TextBody"/>
        <w:bidi w:val="0"/>
        <w:spacing w:before="0" w:after="240"/>
        <w:jc w:val="both"/>
        <w:rPr>
          <w:rFonts w:ascii="Times New Roman" w:hAnsi="Times New Roman"/>
          <w:sz w:val="20"/>
        </w:rPr>
      </w:pPr>
      <w:r>
        <w:rPr>
          <w:rFonts w:ascii="Times New Roman" w:hAnsi="Times New Roman"/>
          <w:b/>
          <w:color w:val="000000"/>
          <w:sz w:val="20"/>
        </w:rPr>
        <w:t>Support Agreements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In connection with the execution of the Merger Agreement, the Company and Prana entered into stockholder support agreements (the “</w:t>
      </w:r>
      <w:r>
        <w:rPr>
          <w:rFonts w:ascii="Times New Roman" w:hAnsi="Times New Roman"/>
          <w:b/>
          <w:i/>
          <w:color w:val="000000"/>
          <w:sz w:val="20"/>
        </w:rPr>
        <w:t>Support Agreements</w:t>
      </w:r>
      <w:r>
        <w:rPr>
          <w:rFonts w:ascii="Times New Roman" w:hAnsi="Times New Roman"/>
          <w:color w:val="000000"/>
          <w:sz w:val="20"/>
        </w:rPr>
        <w:t xml:space="preserve">”) with certain of the Company’s officers, directors and certain stockholders (solely in their capacity as stockholders), representing 8.4% of the pre-transaction shares of Common Stock outstanding. The Support Agreements provide that, among other things, each of the parties thereto has agreed to vote or cause to be voted all of the shares of Common Stock owned by such stockholder in favor of the Meeting Proposals at the Company stockholders’ meeting(s) to be held in connection therewith, subject to and in accordance with the terms of the Support Agreements.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description of the Support Agreements does not purport to be complete and is qualified in its entirety by reference to the form of the Support Agreement, which is provided as Exhibit D to the Merger Agreement, which is filed as Exhibit 2.1 to this Current Report on Form 8-K and incorporated herein by reference.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Lock-up Agreements</w:t>
      </w:r>
    </w:p>
    <w:p>
      <w:pPr>
        <w:pStyle w:val="TextBody"/>
        <w:bidi w:val="0"/>
        <w:spacing w:before="0" w:after="240"/>
        <w:jc w:val="both"/>
        <w:rPr>
          <w:rFonts w:ascii="Times New Roman" w:hAnsi="Times New Roman"/>
          <w:sz w:val="20"/>
        </w:rPr>
      </w:pPr>
      <w:r>
        <w:rPr>
          <w:rFonts w:ascii="Times New Roman" w:hAnsi="Times New Roman"/>
          <w:color w:val="000000"/>
          <w:sz w:val="20"/>
        </w:rPr>
        <w:t>Concurrently and in connection with the execution of the Merger Agreement, certain officers, directors and certain stockholders of Prana as of immediately prior to the Merger, and certain of the directors and officers of the Company as of immediately prior to the Merger entered into lock-up agreements with the Company and Prana, pursuant to which each such stockholder will be subject to a 180-day lockup on the sale or transfer of shares of Common Stock and Series D Preferred Stock held by each such stockholder at the Closing, including those shares received by Prana stockholders in the Merger (the “</w:t>
      </w:r>
      <w:r>
        <w:rPr>
          <w:rFonts w:ascii="Times New Roman" w:hAnsi="Times New Roman"/>
          <w:b/>
          <w:i/>
          <w:color w:val="000000"/>
          <w:sz w:val="20"/>
        </w:rPr>
        <w:t>Lock-up Agreements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description of the Lock-up Agreements does not purport to be complete and is qualified in its entirety by reference to the form of the Lock-up Agreement, which is provided as Exhibit C to the Merger Agreement, which is filed as Exhibit 2.1 to this Current Report on Form 8-K and incorporated herein by reference.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Private Placement and Securities Purchase Agreement</w:t>
      </w:r>
    </w:p>
    <w:p>
      <w:pPr>
        <w:pStyle w:val="TextBody"/>
        <w:bidi w:val="0"/>
        <w:spacing w:before="0" w:after="240"/>
        <w:jc w:val="both"/>
        <w:rPr>
          <w:rFonts w:ascii="Times New Roman" w:hAnsi="Times New Roman"/>
          <w:sz w:val="20"/>
        </w:rPr>
      </w:pPr>
      <w:r>
        <w:rPr>
          <w:rFonts w:ascii="Times New Roman" w:hAnsi="Times New Roman"/>
          <w:color w:val="000000"/>
          <w:sz w:val="20"/>
        </w:rPr>
        <w:t>On October 23, 2026, the Company entered into a Securities Purchase Agreement (the “</w:t>
      </w:r>
      <w:r>
        <w:rPr>
          <w:rFonts w:ascii="Times New Roman" w:hAnsi="Times New Roman"/>
          <w:b/>
          <w:i/>
          <w:color w:val="000000"/>
          <w:sz w:val="20"/>
        </w:rPr>
        <w:t>Purchase Agreement</w:t>
      </w:r>
      <w:r>
        <w:rPr>
          <w:rFonts w:ascii="Times New Roman" w:hAnsi="Times New Roman"/>
          <w:color w:val="000000"/>
          <w:sz w:val="20"/>
        </w:rPr>
        <w:t>”) with the purchasers named therein (the “</w:t>
      </w:r>
      <w:r>
        <w:rPr>
          <w:rFonts w:ascii="Times New Roman" w:hAnsi="Times New Roman"/>
          <w:b/>
          <w:i/>
          <w:color w:val="000000"/>
          <w:sz w:val="20"/>
        </w:rPr>
        <w:t>Investors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Pursuant to the Purchase Agreement, the Company agreed to sell an aggregate of 13,995.311 shares of Series D Preferred Stock (the “</w:t>
      </w:r>
      <w:r>
        <w:rPr>
          <w:rFonts w:ascii="Times New Roman" w:hAnsi="Times New Roman"/>
          <w:b/>
          <w:i/>
          <w:color w:val="000000"/>
          <w:sz w:val="20"/>
        </w:rPr>
        <w:t>Preferred Shares</w:t>
      </w:r>
      <w:r>
        <w:rPr>
          <w:rFonts w:ascii="Times New Roman" w:hAnsi="Times New Roman"/>
          <w:color w:val="000000"/>
          <w:sz w:val="20"/>
        </w:rPr>
        <w:t>”), together with warrants (the “</w:t>
      </w:r>
      <w:r>
        <w:rPr>
          <w:rFonts w:ascii="Times New Roman" w:hAnsi="Times New Roman"/>
          <w:b/>
          <w:i/>
          <w:color w:val="000000"/>
          <w:sz w:val="20"/>
        </w:rPr>
        <w:t>Warrants</w:t>
      </w:r>
      <w:r>
        <w:rPr>
          <w:rFonts w:ascii="Times New Roman" w:hAnsi="Times New Roman"/>
          <w:color w:val="000000"/>
          <w:sz w:val="20"/>
        </w:rPr>
        <w:t>”) to purchase a number of additional shares of Series D Preferred Stock equal to 50% of the Preferred Shares purchased thereunder or Common Stock (as specified in the warrant) (the “</w:t>
      </w:r>
      <w:r>
        <w:rPr>
          <w:rFonts w:ascii="Times New Roman" w:hAnsi="Times New Roman"/>
          <w:b/>
          <w:i/>
          <w:color w:val="000000"/>
          <w:sz w:val="20"/>
        </w:rPr>
        <w:t>Warrant Shares</w:t>
      </w:r>
      <w:r>
        <w:rPr>
          <w:rFonts w:ascii="Times New Roman" w:hAnsi="Times New Roman"/>
          <w:color w:val="000000"/>
          <w:sz w:val="20"/>
        </w:rPr>
        <w:t>” and, together with the Preferred Shares and the Warrants, the “</w:t>
      </w:r>
      <w:r>
        <w:rPr>
          <w:rFonts w:ascii="Times New Roman" w:hAnsi="Times New Roman"/>
          <w:b/>
          <w:i/>
          <w:color w:val="000000"/>
          <w:sz w:val="20"/>
        </w:rPr>
        <w:t>PIPE Securities</w:t>
      </w:r>
      <w:r>
        <w:rPr>
          <w:rFonts w:ascii="Times New Roman" w:hAnsi="Times New Roman"/>
          <w:color w:val="000000"/>
          <w:sz w:val="20"/>
        </w:rPr>
        <w:t>”), for aggregate upfront gross proceeds of $120 million (collectively, the “</w:t>
      </w:r>
      <w:r>
        <w:rPr>
          <w:rFonts w:ascii="Times New Roman" w:hAnsi="Times New Roman"/>
          <w:b/>
          <w:i/>
          <w:color w:val="000000"/>
          <w:sz w:val="20"/>
        </w:rPr>
        <w:t>Financing</w:t>
      </w:r>
      <w:r>
        <w:rPr>
          <w:rFonts w:ascii="Times New Roman" w:hAnsi="Times New Roman"/>
          <w:color w:val="000000"/>
          <w:sz w:val="20"/>
        </w:rPr>
        <w:t xml:space="preserve">”). No separate consideration will be allocated to the Warrants. Each share of Series D Preferred Stock is convertible into 1,000 shares of Common Stock, subject to certain conditions described below. The powers, preferences, rights,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qualifications, limitations and restrictions applicable to the Series D Preferred Stock are set forth in the Certificate of Designation (as defined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Warrants will become exercisable for cash to purchase shares of Common Stock upon the automatic conversion of the Series D Preferred Stock into Common Stock following receipt of the requisite stockholder approval (or for shares of Series D Preferred Stock under certain circumstances) , at the applicable exercise price specified therein, in each case subject to adjustment. The Warrants will expire on the earlier of (i) 30 days following the Company’s first public disclosure of top-line results from the first-in-human clinical data from its Program 2 Phase 1 (IL-31 bispecific), such disclosure to include at least two dosing cohorts from subjects administered subcutaneous single ascending doses (n = approximately 8 per group) with at least 8 weeks post-dose follow up, similar to Phase 1 data previously generated for PRA-216 and (ii) June 30, 2028. Assuming the Warrants are exercised in full for cash at the applicable exercise price, the Company would receive additional gross proceeds of approximately $60 million. There can be no assurance that any Warrants will be exercised.</w:t>
      </w:r>
    </w:p>
    <w:p>
      <w:pPr>
        <w:pStyle w:val="TextBody"/>
        <w:bidi w:val="0"/>
        <w:spacing w:before="0" w:after="240"/>
        <w:jc w:val="both"/>
        <w:rPr>
          <w:rFonts w:ascii="Times New Roman" w:hAnsi="Times New Roman"/>
          <w:sz w:val="20"/>
        </w:rPr>
      </w:pPr>
      <w:r>
        <w:rPr>
          <w:rFonts w:ascii="Times New Roman" w:hAnsi="Times New Roman"/>
          <w:color w:val="000000"/>
          <w:sz w:val="20"/>
        </w:rPr>
        <w:t>The closing of the Financing is expected to occur on October 26, 2026 (the “</w:t>
      </w:r>
      <w:r>
        <w:rPr>
          <w:rFonts w:ascii="Times New Roman" w:hAnsi="Times New Roman"/>
          <w:b/>
          <w:i/>
          <w:color w:val="000000"/>
          <w:sz w:val="20"/>
        </w:rPr>
        <w:t>Financing Closing Date</w:t>
      </w:r>
      <w:r>
        <w:rPr>
          <w:rFonts w:ascii="Times New Roman" w:hAnsi="Times New Roman"/>
          <w:color w:val="000000"/>
          <w:sz w:val="20"/>
        </w:rPr>
        <w:t>”), subject to customary closing conditions set forth in the Purchase Agreement including the accuracy of representations and warranties, compliance with covenants and the delivery of customary closing deliverables.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summaries of the Purchase Agreement and the Warrants do not purport to be complete and are qualified in their entirety by reference to the form of Purchase Agreement and the form of Warrant, respectively, which are filed as Exhibits 10.1 and 10.3, respectively, to this Current Report on Form 8-K.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Registration Rights Agreement</w:t>
      </w:r>
    </w:p>
    <w:p>
      <w:pPr>
        <w:pStyle w:val="TextBody"/>
        <w:bidi w:val="0"/>
        <w:spacing w:before="0" w:after="240"/>
        <w:jc w:val="both"/>
        <w:rPr>
          <w:rFonts w:ascii="Times New Roman" w:hAnsi="Times New Roman"/>
          <w:sz w:val="20"/>
        </w:rPr>
      </w:pPr>
      <w:r>
        <w:rPr>
          <w:rFonts w:ascii="Times New Roman" w:hAnsi="Times New Roman"/>
          <w:color w:val="000000"/>
          <w:sz w:val="20"/>
        </w:rPr>
        <w:t>In connection with the closing of the Financing, the Company will enter into a Registration Rights Agreement (the “</w:t>
      </w:r>
      <w:r>
        <w:rPr>
          <w:rFonts w:ascii="Times New Roman" w:hAnsi="Times New Roman"/>
          <w:b/>
          <w:i/>
          <w:color w:val="000000"/>
          <w:sz w:val="20"/>
        </w:rPr>
        <w:t>Registration Rights Agreement</w:t>
      </w:r>
      <w:r>
        <w:rPr>
          <w:rFonts w:ascii="Times New Roman" w:hAnsi="Times New Roman"/>
          <w:color w:val="000000"/>
          <w:sz w:val="20"/>
        </w:rPr>
        <w:t>”) with the Investors. Pursuant to the Registration Rights Agreement, the Company is required to prepare and file a resale registration statement with the SEC within 75 calendar days following the Financing Closing Date covering the shares of Common Stock issuable upon conversion of the Preferred Shares and the shares of Common Stock issued or issuable in respect of the Warrants, as provided therein. The Company shall use its reasonable best efforts to cause this registration statement to be declared effective by the SEC within five business days of the date the Company is notified by the SEC that the registration statement will not be reviewed (or within 60 calendar days if the SEC reviews the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also agreed to, among other things, indemnify the Investors, each person who controls an Investor, and their respective directors, officers, members, partners, managers, employees, agents, representatives and advisors under the registration statement from certain liabilities and pay all fees and expenses (excluding any legal fees of the selling holder(s), and any underwriting discounts and selling commissions) incident to the Company’s obligations under the Registration Rights Agreement.</w:t>
      </w:r>
    </w:p>
    <w:p>
      <w:pPr>
        <w:pStyle w:val="TextBody"/>
        <w:bidi w:val="0"/>
        <w:spacing w:before="0" w:after="240"/>
        <w:jc w:val="both"/>
        <w:rPr>
          <w:rFonts w:ascii="Times New Roman" w:hAnsi="Times New Roman"/>
          <w:sz w:val="20"/>
        </w:rPr>
      </w:pPr>
      <w:r>
        <w:rPr>
          <w:rFonts w:ascii="Times New Roman" w:hAnsi="Times New Roman"/>
          <w:color w:val="000000"/>
          <w:sz w:val="20"/>
        </w:rPr>
        <w:t>The Financing is exempt from registration pursuant to Section 4(a)(2) of the Securities Act of 1933, as amended (the “</w:t>
      </w:r>
      <w:r>
        <w:rPr>
          <w:rFonts w:ascii="Times New Roman" w:hAnsi="Times New Roman"/>
          <w:b/>
          <w:i/>
          <w:color w:val="000000"/>
          <w:sz w:val="20"/>
        </w:rPr>
        <w:t>Securities Act</w:t>
      </w:r>
      <w:r>
        <w:rPr>
          <w:rFonts w:ascii="Times New Roman" w:hAnsi="Times New Roman"/>
          <w:color w:val="000000"/>
          <w:sz w:val="20"/>
        </w:rPr>
        <w:t>”), promulgated thereunder, as a transaction by an issuer not involving a public offering, and Rule 506 of Regulation D. The Investors have acquired the securities for investment only and not with a view to or for sale in connection with any distribution thereof, and appropriate legends have been affixed to the securities issued in this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summary of the Registration Rights Agreement does not purport to be complete and is qualified in its entirety by reference to the form of Registration Rights Agreement, which is filed as Exhibit 10.2 to this Current Report on Form 8-K.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1.02 - Termination of a Material Definitive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Lease Agreement Termination</w:t>
      </w:r>
    </w:p>
    <w:p>
      <w:pPr>
        <w:pStyle w:val="TextBody"/>
        <w:bidi w:val="0"/>
        <w:jc w:val="left"/>
        <w:rPr>
          <w:rFonts w:ascii="Times New Roman" w:hAnsi="Times New Roman"/>
          <w:color w:val="000000"/>
          <w:sz w:val="20"/>
        </w:rPr>
      </w:pPr>
      <w:r>
        <w:rPr>
          <w:rFonts w:ascii="Times New Roman" w:hAnsi="Times New Roman"/>
          <w:color w:val="000000"/>
          <w:sz w:val="20"/>
        </w:rPr>
        <w:t xml:space="preserve">As previously disclosed, on October 1, 2026, the Company entered into a Second Amendment to Lease (the “Second Lease Amendment”) with HCP LS Redwood City LLC, as landlord. Pursuant to the Second Lease Amendment, the financing and strategic transaction described herein triggers termination of the agreement and payment of the $4.5 million termination payment.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2.01 - Completion of Acquisition or Disposition of Assets.</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23, 2026, the Company completed its business combination with Prana. The information contained in Item 1.01 of this Current Report on Form 8-K is incorporated by reference into this Item 2.01.</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3.02 - Unregistered Sales of Equity Securities.</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contained in Item 1.01 of this Current Report on Form 8-K is incorporated by reference into this Item 3.02. The PIPE Securities (including the Warrants and shares of Common Stock (or for shares of Series D Preferred Stock under certain circumstances), in each case issuable upon exercise thereof) and shares of Series D Preferred Stock issued pursuant to the Merger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Agreement were offered and sold in transactions exempt from registration under the Securities Act, in reliance on Section 4(a)(2) thereof and Rule 506 of Regulation D thereunder. Each of the Investors represented that it was an “accredited investor,” as defined in Regulation D, and is acquiring the PIPE Securities for investment only and not with a view towards, or for resale in connection with, the public sale or distribution thereof. The PIPE Securities (including the Warrants and shares of Common Stock (or for shares of Series D Preferred Stock under certain circumstances), in each case issuable upon exercise thereof) and shares of Series D Preferred Stock issued pursuant to the Merger Agreement have not been registered under the Securities Act and such securities may not be offered or sold in the United States absent registration or an exemption from registration under the Securities Act and any applicable state securities laws. Neither this Current Report on Form 8-K nor any of the exhibits attached hereto is an offer to sell or the solicitation of an offer to buy shares of Common Stock or any other securities of the Company.</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5.02 - Departure of Directors or Certain Officers; Election of Directors; Appointment of Certain Officers; Compensatory Arrangements of Certain Officers.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Appointment of Director</w:t>
      </w:r>
    </w:p>
    <w:p>
      <w:pPr>
        <w:pStyle w:val="TextBody"/>
        <w:bidi w:val="0"/>
        <w:jc w:val="left"/>
        <w:rPr>
          <w:rFonts w:ascii="Times New Roman" w:hAnsi="Times New Roman"/>
          <w:color w:val="000000"/>
          <w:sz w:val="20"/>
        </w:rPr>
      </w:pPr>
      <w:r>
        <w:rPr>
          <w:rFonts w:ascii="Times New Roman" w:hAnsi="Times New Roman"/>
          <w:color w:val="000000"/>
          <w:sz w:val="20"/>
        </w:rPr>
        <w:t>In accordance with the Merger Agreement, on October 23, 2026, effective immediately after the First Effective Time, Dr. Sheila Gujrathi was appointed to the Board as a Class II director of the Board.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Sheila Gujrathi </w:t>
      </w:r>
      <w:r>
        <w:rPr>
          <w:rFonts w:ascii="Times New Roman" w:hAnsi="Times New Roman"/>
          <w:color w:val="000000"/>
          <w:sz w:val="20"/>
        </w:rPr>
        <w:t>(Age 56) has served as founder and Chief Executive Officer of Prana Therapies since March 2023 and as founder and Executive Chair of the board of directors of Lila Biologics, Inc., a privately held biopharmaceutical company, since March 2023. Dr. Gujrathi has served as a member of the boards of directors of Processa Pharmaceuticals, Inc., a publicly held biopharmaceutical company, since July 2026, BlossomHill Therapeutics, Inc., a publicly held biopharmaceutical company, since May 2026, and Janux Therapeutics, Inc., a publicly held biopharmaceutical company, since March 2021. She has also served as Executive Chair of the board of directors of Generian Pharmaceuticals, Inc., a privately held biotechnology company, since May 2023. She previously served as Executive Chair of the board of directors of Ventyx Biosciences, Inc., a publicly held biopharmaceutical company, from May 2021 until its acquisition by Eli Lilly and Company in January 2026, chair of the board of directors of ADARx Pharmaceuticals, Inc., a privately held biopharmaceutical company, from June 2020 to January 2025, chair of the board of directors of ImmPACT Bio USA Inc., a privately held biotechnology company, from December 2021 until its acquisition by Lyell Immunopharma, Inc. in October 2024, a member of the board of directors of Turning Point Therapeutics, Inc. (acquired by Bristol-Myers Squibb Company in August 2022), a then-publicly held biopharmaceutical company, from November 2017 to March 2021, and chair of the board of directors of Turning Point from April 2019 to March 2021. Dr. Gujrathi previously served as a member of the board of directors of Five Prime Therapeutics, Inc. (acquired by Amgen, Inc. in April 2021) from December 2015 to June 2019 and as a member of the board of directors of Ambrx, Inc., a then-publicly held biopharmaceutical company, from February 2014 until its acquisition by Johnson &amp; Johnson in June 2015. Dr. Gujrathi is a Co-Founder of Gossamer Bio, Inc., a publicly held biopharmaceutical company, and served as its President and Chief Executive Officer from July 2018 to November 2020 and as its President and Chief Operating Officer from October 2015 to June 2018 and as a member of its board of directors from October 2015 to November 2020. Previously, Dr. Gujrathi was the Chief Medical Officer of Receptos, Inc., a then-publicly held biopharmaceutical company, a position she held from June 2011 until its acquisition by Celgene Corporation in August 2015. Previously, Dr. Gujrathi worked at Bristol-Myers Squibb Company, where she served as Vice President of the Global Clinical Research Group in Immunology from August 2008 to June 2011. Previously, Dr. Gujrathi worked at Genentech, Inc., where she held roles of increasing responsibility in the Immunology, Tissue Growth and Repair clinical development group from October 2002 to July 2008. From 1999 until 2002, Dr. Gujrathi was a management consultant at McKinsey &amp; Company in the healthcare practice, where she provided strategic advice on a variety of projects in the healthcare and pharmaceutical industry. Dr. Gujrathi received her B.S. in biomedical engineering and M.D. from Northwestern University. Dr. Gujrathi completed her internal medicine internship and residency at Brigham and Women’s Hospital, Harvard Medical School and is board certified in internal medicine. Dr. Gujrathi received additional training at the University of California, San Francisco and Stanford University in their Allergy and Immunology Fellowship Program.</w:t>
      </w:r>
    </w:p>
    <w:p>
      <w:pPr>
        <w:pStyle w:val="TextBody"/>
        <w:bidi w:val="0"/>
        <w:jc w:val="left"/>
        <w:rPr>
          <w:rFonts w:ascii="Times New Roman" w:hAnsi="Times New Roman"/>
          <w:color w:val="000000"/>
          <w:sz w:val="20"/>
        </w:rPr>
      </w:pPr>
      <w:r>
        <w:rPr>
          <w:rFonts w:ascii="Times New Roman" w:hAnsi="Times New Roman"/>
          <w:color w:val="000000"/>
          <w:sz w:val="20"/>
        </w:rPr>
        <w:t>We believe that Dr. Gujrathi is qualified to serve on our board of directors based on her extensive service as a director of multiple biotechnology companies, and her experience as an officer in multiple public biotechnology companies.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described in the Merger Agreement, there are no arrangements or understandings between Dr. Gujrathi and any other person pursuant to which he was appointed as a director of the Company. Dr. Gujrathi is not a party to any transaction required to be disclosed pursuant to Item 404(a) of Regulation S-K.</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Dr. Gujrathi’s appointment as director, Dr. Gujrathi will enter into the Company’s standard form of indemnification agreement, a copy of which was filed as Exhibit 10.7 to the Company’s annual report on Form 10-K for the fiscal year ended December 31, 2025 filed with the SEC on March 12,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Executive Officers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accordance with the Merger Agreement, on October 23, 2026, effective immediately after the First Effective Time, Dr. Sheila Gujrathi was appointed as the Chief Strategy Officer of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that Dr. Gujrathi is qualified to serve as Chief Strategy Officer based on her leadership as Prana’s Chief Executive Officer and her extensive experience as a leader in the biopharmaceutical industry, including as a board member of multiple biotechnology and biopharmaceutical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Dr. Gujrathi has no family relationships with any of the executive officers or directors of the Company. Except as otherwise described in the Merger Agreement, there are no arrangements or understandings between Dr. Gujrathi and any other person pursuant to which he was appointed as an executive officer of the Company. Dr. Gujrathi is not party to any transaction required to be disclosed pursuant to Item 404(a) of Regulation S-K.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5.03 - Amendments to Articles of Incorporation or Bylaws; Change in Fiscal Year.</w:t>
      </w:r>
    </w:p>
    <w:p>
      <w:pPr>
        <w:pStyle w:val="TextBody"/>
        <w:bidi w:val="0"/>
        <w:spacing w:before="0" w:after="240"/>
        <w:jc w:val="both"/>
        <w:rPr>
          <w:rFonts w:ascii="Times New Roman" w:hAnsi="Times New Roman"/>
          <w:sz w:val="20"/>
        </w:rPr>
      </w:pPr>
      <w:r>
        <w:rPr>
          <w:rFonts w:ascii="Times New Roman" w:hAnsi="Times New Roman"/>
          <w:color w:val="000000"/>
          <w:sz w:val="20"/>
        </w:rPr>
        <w:t>On October 22, 2026, the Company filed with the Secretary of State of the State of Delaware a Certificate of Designation of Preferences, Rights and Limitations of the Series D Preferred Stock (the “</w:t>
      </w:r>
      <w:r>
        <w:rPr>
          <w:rFonts w:ascii="Times New Roman" w:hAnsi="Times New Roman"/>
          <w:b/>
          <w:i/>
          <w:color w:val="000000"/>
          <w:sz w:val="20"/>
        </w:rPr>
        <w:t>Certificate of Designation</w:t>
      </w:r>
      <w:r>
        <w:rPr>
          <w:rFonts w:ascii="Times New Roman" w:hAnsi="Times New Roman"/>
          <w:color w:val="000000"/>
          <w:sz w:val="20"/>
        </w:rPr>
        <w:t>”) in connection with the Merger and the Financing referenced in Item 1.01 above. The Certificate of Designation provides for the creation of the Company’s Series D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Holders of Series D Preferred Stock are entitled to receive dividends on shares of Series D Preferred Stock equal to, on an as-if-converted-to-Common-Stock basis, and in the same form as dividends actually paid on shares of the Common Stock. Except as otherwise provided in the Certificate of Designation or as otherwise required by the General Corporation Law of the State of Delaware, the Series D Preferred Stock shall have no voting rights. However, as long as any shares of Series D Preferred Stock are outstanding, the Company shall not, without the affirmative vote of the holders of a majority of the then outstanding shares of the Series D Preferred Stock: (i) alter or change adversely the powers, preferences or rights given to the Series D Preferred Stock or alter or amend the Certificate of Designation, amend or repeal any provision of, or add any provision to, the certificate of incorporation or amended and restated bylaws of the Company, or file any certificate of amendment, certificate of designations, preferences, limitations and relative rights of any series of preferred stock of the Company, in each case, if such action would adversely alter or change the preferences, rights, privileges or powers of, or restrictions provided for the benefit of the Series D Preferred Stock, regardless of whether any of the foregoing actions will be by means of amendment to the certificate of incorporation or by merger, consolidation, recapitalization, reclassification, conversion or otherwise, (ii) increase or decrease (other than as a result of conversion, cancellation or retirement in accordance with the Certificate of Designation) the number of authorized shares of Series D Preferred Stock, (iii) prior to the Automatic Conversion (as defined in the Certificate of Designation) either consummate: (A) any Fundamental Transaction (as defined in the Certificate of Designation) or (B) any merger or consolidation of the Company with or into another Person or any stock sale to, or other business combination (including, without limitation, a reorganization, recapitalization, spin-off, share exchange or scheme of arrangement) with or into another Person in which the stockholders of the Company immediately before such transaction do not hold at least a majority of the voting power of the capital stock of the Company or surviving corporation or the parent entity of the Company or surviving corporation immediately after such transaction or in which the Company or the surviving company issues securities in such transaction that represent or are convertible into securities representing more than a majority of the voting power of the Company immediately before such transaction, (iv) prior to the Automatic Conversion, authorize or issue any class or series of stock that has powers, preferences or rights that are senior to those of the Series D Preferred Stock, (v) amend, waive or modify the Merger Agreement in any manner that would be reasonably likely to prevent, impede or materially delay stockholder approval of the Company Stockholder Matters or the Automatic Conversion or (vi) enter into any agreement with respect to any of the foregoing. Holders of shares of Common Stock acquired upon the conversion of shares of Series D Preferred Stock shall be entitled to the same voting rights as each other holder of Common Stock, except that such holders may not vote such shares upon the proposal for the Preferred Stock Conversion Proposal and, as applicable, the Nasdaq Proposals, in accordance with Rule 5635 of the listing rules of Nasdaq.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Following stockholder approval of the Company Stockholder Matters, each share of Series D Preferred Stock will automatically convert into 1,000 shares of Common Stock, subject to certain limitations, including that a holder of Series D Preferred Stock is prohibited from converting shares of Series D Preferred Stock into shares of Common Stock if, as a result of such conversion, such holder, together with its affiliates, would beneficially own more than a specified percentage (to be established by the holder between 4.99% and 19.99%) of the total number of shares of Common Stock issued and outstanding immediately after giving effect to such conversion, provided that following approval of the Company Stockholder Matters, such beneficial ownership blockers may be waived by each holder of Series D Preferred Stock upon written notice to the Company to be effective on the 61st day following receipt of such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at any time after the earlier of (i) approval of the Company Stockholder Matters or (ii) nine (9) months after the initial issuance of the Series D Preferred Stock, the Company fails to deliver to the holder of the Series D Preferred Stock shares of Common Stock underlying such shares Series D Preferred Stock, then (other than in certain circumstances set forth in the Certificate of Designation), the Company will pay, at the request of such holder, an amount of cash by wire transfer of immediately available funds equal to the Fair Value (as defined in the Certificate of Designation) of such undelivered shares.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description of the Series D Preferred Stock does not purport to be complete and is qualified in its entirety by reference to the Certificate of Designation, a copy of which is filed as Exhibit 3.1 to this Current Report on Form 8-K and is incorporated herein by reference.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7.01 - Regulation FD Disclosure.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23, 2026, the Company issued a press release related to the Merger and the Financing, and made available Prana’s investor presentation to be used in general corporate communications and investor communications. A copy of the press release and presentation is furnished as Exhibit 99.1 and Exhibit 99.2, respectively, to this Current Report on Form 8-K.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in Item 7.01 of this Current Report on Form 8-K, including the information in the press release attached as Exhibit 99.1 and the presentation attached as Exhibit 99.2 to this Current Report on Form 8-K,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Exhibit 99.1 and Exhibit 99.2 to this Current Report on Form 8-K, shall not be deemed to be incorporated by reference in the filings of the Company under the Securities Act.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8.01 – Other Events.</w:t>
      </w:r>
    </w:p>
    <w:p>
      <w:pPr>
        <w:pStyle w:val="TextBody"/>
        <w:bidi w:val="0"/>
        <w:spacing w:before="0" w:after="240"/>
        <w:jc w:val="both"/>
        <w:rPr>
          <w:rFonts w:ascii="Times New Roman" w:hAnsi="Times New Roman"/>
          <w:sz w:val="20"/>
        </w:rPr>
      </w:pPr>
      <w:r>
        <w:rPr>
          <w:rFonts w:ascii="Times New Roman" w:hAnsi="Times New Roman"/>
          <w:b/>
          <w:color w:val="000000"/>
          <w:sz w:val="20"/>
        </w:rPr>
        <w:t>BDC-4182 Phase 1 Clinical Trial Results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is evaluating BDC-4182, a claudin 18.2-targeting immune-stimulating antibody conjugate, in a Phase 1 dose-escalation study in patients with previously treated metastatic gastric or gastroesophageal cancer. As of October 1, 2026, BDC-4182 has been administered with step-up dosing to 25 subjects across 4 dose levels (0.4, 0.75, 2, or 4 mg/kg) administered every 2 or 4 weeks. BDC-4182 was tolerated with mostly Grade 1/2 immune-related adverse events. No dose-limiting toxicities were observed, and a maximum tolerated dose was not reached. BDC-4182 demonstrated pharmacodynamic effects indicative of myeloid and T cell activation across all dose levels. The disease control rate (“DCR”) during dose escalation in patients administered BDC-4182 every 2 weeks with step-up dosing was 53%, with 8 of 15 evaluable patients exhibiting stable disease as their best overall response. The DCR for the final two cohorts (n=9) exploring dosing every 4 weeks is not yet available. The Company does not expect to give any additional updates on the study.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statements contained in this Form 8-K may constitute forward-looking statements within the meaning of Section 27A of the Securities Act of 1933, as amended, and Section 21E of the Securities Exchange Act of 1934, as amended. The words and phrases “designed to,” “may,” “might,” “can,” “will,” “to be,” “could,” “would,” “should,” “expect,” “intend,” “plan,” “objective,” “anticipate,” “believe,” “estimate,” “predict,” “project,” “potential,” “likely,” “continue,” “ongoing” or similar expressions, or the negative of such words, are intended to identify “forward-looking statements.” These forward-looking statements include, but are not limited to, statements regarding the Company, Prana, the Financing and the Merger, including the closing of the Financing, if any, and the expected effects, perceived benefits or opportunities and related timing with respect thereto; the Company's plans to hold stockholder meeting(s) to seek approval of the Company Stockholder Matters and to file a proxy statement and other relevant materials with the SEC in connection therewith; the anticipated automatic conversion of the Series D Preferred Stock into Common Stock upon receipt of the requisite stockholder approval; the Company's plans to file a registration statement on Form S-3 (or other applicable form) to register the resale of certain shares of Common Stock and the anticipated timing of the filing and effectiveness thereof; expectations regarding or plans for the combined company’s pipeline, including its ongoing clinical trials and research and development programs; and expectations regarding the use of proceeds from the Financing and cash runway expectations therefrom, including such proceeds funding the combined company through key clinical milestones. The Company has based these forward-looking statements on its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above in this Form 8-K and in the Company’s other filings with the SEC. Statements made herein are as of the date of the filing of this Form 8-K with the SEC and should not be relied upon as of any subsequent date. Unless otherwise required by applicable law, the Company does not undertake, and it specifically disclaims, any obligation to update any forward-looking statements to reflect occurrences, developments, unanticipated events or circumstances after the date of such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Financial statements of business acquired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financial statements required by this Item 9.01(a) are not included in this Current Report on Form 8-K. The Company intends to include such financial statements by amendment to this Current Report on Form 8-K no later than 71 calendar days after the date this Current Report on Form 8-K is required to be filed.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Pro forma financial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 forma financial information required by this Item 9.01(b) is not included in this Current Report on Form 8-K. The Company intends to include such pro forma financial information by amendment to this Current Report on Form 8-K no later than 71 calendar days after the date this Current Report on Form 8-K is required to be filed.</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45"/>
        <w:gridCol w:w="146"/>
        <w:gridCol w:w="8914"/>
      </w:tblGrid>
      <w:tr>
        <w:trPr/>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4" w:type="dxa"/>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4"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tcBorders/>
            <w:tcMar>
              <w:top w:w="0" w:type="dxa"/>
              <w:left w:w="0" w:type="dxa"/>
              <w:bottom w:w="0" w:type="dxa"/>
              <w:right w:w="0" w:type="dxa"/>
            </w:tcMar>
            <w:vAlign w:val="center"/>
          </w:tcPr>
          <w:p>
            <w:pPr>
              <w:pStyle w:val="TableContents"/>
              <w:bidi w:val="0"/>
              <w:spacing w:before="0" w:after="283"/>
              <w:jc w:val="left"/>
              <w:rPr/>
            </w:pPr>
            <w:hyperlink w:anchor="bolt-ex2_1.htm">
              <w:r>
                <w:rPr>
                  <w:rStyle w:val="InternetLink"/>
                  <w:rFonts w:ascii="Times New Roman" w:hAnsi="Times New Roman"/>
                  <w:color w:val="0000FF"/>
                  <w:sz w:val="20"/>
                  <w:u w:val="single"/>
                </w:rPr>
                <w:t>Agreement and Plan of Merger, dated October 23, 2026, by and among Bolt Biotherapeutics, Inc., Prince Merger Sub I, Inc., Prince Merger Sub II, LLC, and Prana Therapies, Inc.</w:t>
              </w:r>
            </w:hyperlink>
          </w:p>
        </w:tc>
      </w:tr>
      <w:tr>
        <w:trPr/>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120"/>
              <w:jc w:val="both"/>
              <w:rPr/>
            </w:pPr>
            <w:hyperlink w:anchor="bolt-ex3_1.htm">
              <w:r>
                <w:rPr>
                  <w:rStyle w:val="InternetLink"/>
                  <w:rFonts w:ascii="Times New Roman" w:hAnsi="Times New Roman"/>
                  <w:color w:val="0000FF"/>
                  <w:sz w:val="20"/>
                  <w:u w:val="single"/>
                </w:rPr>
                <w:t>Certificate of Designation of Series D Non-Voting Convertible Preferred Stock</w:t>
              </w:r>
            </w:hyperlink>
            <w:hyperlink w:anchor="bolt-ex3_1.htm">
              <w:r>
                <w:rPr>
                  <w:rStyle w:val="InternetLink"/>
                  <w:rFonts w:ascii="Times New Roman" w:hAnsi="Times New Roman"/>
                  <w:color w:val="0000FF"/>
                  <w:sz w:val="20"/>
                </w:rPr>
                <w:t xml:space="preserve"> </w:t>
              </w:r>
            </w:hyperlink>
          </w:p>
        </w:tc>
      </w:tr>
      <w:tr>
        <w:trPr/>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283"/>
              <w:jc w:val="left"/>
              <w:rPr/>
            </w:pPr>
            <w:hyperlink w:anchor="bolt-ex10_1.htm">
              <w:r>
                <w:rPr>
                  <w:rStyle w:val="InternetLink"/>
                  <w:rFonts w:ascii="Times New Roman" w:hAnsi="Times New Roman"/>
                  <w:color w:val="0000FF"/>
                  <w:sz w:val="20"/>
                  <w:u w:val="single"/>
                </w:rPr>
                <w:t>Form of Securities Purchase Agreement, dated as of October 23, 2026, by and among Bolt Biotherapeutics, Inc. and each investor listed on Exhibit A thereto</w:t>
              </w:r>
            </w:hyperlink>
            <w:hyperlink w:anchor="bolt-ex10_1.htm">
              <w:r>
                <w:rPr>
                  <w:rStyle w:val="InternetLink"/>
                  <w:rFonts w:ascii="Times New Roman" w:hAnsi="Times New Roman"/>
                  <w:color w:val="0000FF"/>
                  <w:sz w:val="20"/>
                </w:rPr>
                <w:t xml:space="preserve"> </w:t>
              </w:r>
            </w:hyperlink>
          </w:p>
        </w:tc>
      </w:tr>
      <w:tr>
        <w:trPr/>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283"/>
              <w:jc w:val="left"/>
              <w:rPr/>
            </w:pPr>
            <w:hyperlink w:anchor="bolt-ex10_2.htm">
              <w:r>
                <w:rPr>
                  <w:rStyle w:val="InternetLink"/>
                  <w:rFonts w:ascii="Times New Roman" w:hAnsi="Times New Roman"/>
                  <w:color w:val="0000FF"/>
                  <w:sz w:val="20"/>
                  <w:u w:val="single"/>
                </w:rPr>
                <w:t>Form of Registration Rights Agreement, by and among Bolt Biotherapeutics, Inc. and certain investors signatory thereto</w:t>
              </w:r>
            </w:hyperlink>
            <w:hyperlink w:anchor="bolt-ex10_2.htm">
              <w:r>
                <w:rPr>
                  <w:rStyle w:val="InternetLink"/>
                  <w:rFonts w:ascii="Times New Roman" w:hAnsi="Times New Roman"/>
                  <w:color w:val="0000FF"/>
                  <w:sz w:val="20"/>
                </w:rPr>
                <w:t xml:space="preserve"> </w:t>
              </w:r>
            </w:hyperlink>
          </w:p>
        </w:tc>
      </w:tr>
      <w:tr>
        <w:trPr/>
        <w:tc>
          <w:tcPr>
            <w:tcW w:w="1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283"/>
              <w:jc w:val="both"/>
              <w:rPr/>
            </w:pPr>
            <w:hyperlink w:anchor="bolt-ex10_3.htm">
              <w:r>
                <w:rPr>
                  <w:rStyle w:val="InternetLink"/>
                  <w:rFonts w:ascii="Times New Roman" w:hAnsi="Times New Roman"/>
                  <w:color w:val="0000FF"/>
                  <w:sz w:val="20"/>
                  <w:u w:val="single"/>
                </w:rPr>
                <w:t>Form of Warrant to Purchase Preferred Stock or Common Stock</w:t>
              </w:r>
            </w:hyperlink>
          </w:p>
        </w:tc>
      </w:tr>
      <w:tr>
        <w:trPr/>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tcBorders/>
            <w:tcMar>
              <w:top w:w="0" w:type="dxa"/>
              <w:left w:w="0" w:type="dxa"/>
              <w:bottom w:w="0" w:type="dxa"/>
              <w:right w:w="0" w:type="dxa"/>
            </w:tcMar>
            <w:vAlign w:val="center"/>
          </w:tcPr>
          <w:p>
            <w:pPr>
              <w:pStyle w:val="TableContents"/>
              <w:bidi w:val="0"/>
              <w:spacing w:before="0" w:after="283"/>
              <w:jc w:val="both"/>
              <w:rPr/>
            </w:pPr>
            <w:hyperlink w:anchor="bolt-ex99_1.htm">
              <w:r>
                <w:rPr>
                  <w:rStyle w:val="InternetLink"/>
                  <w:rFonts w:ascii="Times New Roman" w:hAnsi="Times New Roman"/>
                  <w:color w:val="0000FF"/>
                  <w:sz w:val="20"/>
                  <w:u w:val="single"/>
                </w:rPr>
                <w:t>Press Release issued on October 23, 2026</w:t>
              </w:r>
            </w:hyperlink>
          </w:p>
        </w:tc>
      </w:tr>
      <w:tr>
        <w:trPr/>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4" w:type="dxa"/>
            <w:tcBorders/>
            <w:tcMar>
              <w:top w:w="0" w:type="dxa"/>
              <w:left w:w="0" w:type="dxa"/>
              <w:bottom w:w="0" w:type="dxa"/>
              <w:right w:w="0" w:type="dxa"/>
            </w:tcMar>
            <w:vAlign w:val="center"/>
          </w:tcPr>
          <w:p>
            <w:pPr>
              <w:pStyle w:val="TableContents"/>
              <w:bidi w:val="0"/>
              <w:spacing w:before="0" w:after="283"/>
              <w:jc w:val="both"/>
              <w:rPr/>
            </w:pPr>
            <w:hyperlink w:anchor="bolt-ex99_2.htm">
              <w:r>
                <w:rPr>
                  <w:rStyle w:val="InternetLink"/>
                  <w:rFonts w:ascii="Times New Roman" w:hAnsi="Times New Roman"/>
                  <w:color w:val="0000FF"/>
                  <w:sz w:val="20"/>
                  <w:u w:val="single"/>
                </w:rPr>
                <w:t>Investor Presentation, dated October 23, 2026</w:t>
              </w:r>
            </w:hyperlink>
          </w:p>
        </w:tc>
      </w:tr>
      <w:tr>
        <w:trPr/>
        <w:tc>
          <w:tcPr>
            <w:tcW w:w="1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lineRule="auto" w:line="360"/>
        <w:jc w:val="both"/>
        <w:rPr>
          <w:rFonts w:ascii="Times New Roman" w:hAnsi="Times New Roman"/>
          <w:color w:val="000000"/>
          <w:sz w:val="13"/>
        </w:rPr>
      </w:pPr>
      <w:r>
        <w:rPr>
          <w:rFonts w:ascii="Times New Roman" w:hAnsi="Times New Roman"/>
          <w:color w:val="000000"/>
          <w:sz w:val="13"/>
        </w:rPr>
        <w:t xml:space="preserve">* Certain schedules and attachments have been omitted pursuant to Item 601(a)(5) of Regulation S-K. The Company agrees to provide, on a supplemental basis, a copy of any omitted schedules and attachments to the Securities and Exchange Commission or its staff upon request.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684" w:type="dxa"/>
        <w:jc w:val="left"/>
        <w:tblInd w:w="0" w:type="dxa"/>
        <w:tblLayout w:type="fixed"/>
        <w:tblCellMar>
          <w:top w:w="28" w:type="dxa"/>
          <w:left w:w="28" w:type="dxa"/>
          <w:bottom w:w="28" w:type="dxa"/>
          <w:right w:w="28" w:type="dxa"/>
        </w:tblCellMar>
      </w:tblPr>
      <w:tblGrid>
        <w:gridCol w:w="556"/>
        <w:gridCol w:w="1516"/>
        <w:gridCol w:w="451"/>
        <w:gridCol w:w="516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smallCaps/>
                <w:color w:val="000000"/>
                <w:sz w:val="20"/>
              </w:rPr>
            </w:pPr>
            <w:r>
              <w:rPr>
                <w:rFonts w:ascii="Times New Roman" w:hAnsi="Times New Roman"/>
                <w:b/>
                <w:smallCaps/>
                <w:color w:val="000000"/>
                <w:sz w:val="20"/>
              </w:rPr>
              <w:t>Bolt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1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mallCaps/>
                <w:color w:val="000000"/>
                <w:sz w:val="20"/>
              </w:rPr>
            </w:pPr>
            <w:r>
              <w:rPr>
                <w:rFonts w:ascii="Times New Roman" w:hAnsi="Times New Roman"/>
                <w:smallCaps/>
                <w:color w:val="000000"/>
                <w:sz w:val="20"/>
              </w:rPr>
              <w:t>/s/ William P. Quinn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William P. Quinn</w:t>
              <w:br/>
              <w:t>President, Chief Executive Officer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bolt-ex2_1.htm"/>
      <w:bookmarkStart w:id="3" w:name="ksboltex2_1"/>
      <w:bookmarkEnd w:id="2"/>
      <w:bookmarkEnd w:id="3"/>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2.1</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AGREEMENT AND PLAN OF MERGER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by and among:</w:t>
      </w:r>
    </w:p>
    <w:p>
      <w:pPr>
        <w:pStyle w:val="TextBody"/>
        <w:bidi w:val="0"/>
        <w:spacing w:before="0" w:after="240"/>
        <w:jc w:val="center"/>
        <w:rPr>
          <w:rFonts w:ascii="Times New Roman" w:hAnsi="Times New Roman"/>
          <w:sz w:val="16"/>
        </w:rPr>
      </w:pPr>
      <w:r>
        <w:rPr>
          <w:rFonts w:ascii="Times New Roman" w:hAnsi="Times New Roman"/>
          <w:b/>
          <w:caps/>
          <w:color w:val="000000"/>
          <w:sz w:val="24"/>
        </w:rPr>
        <w:t>Bolt Biotherapeutics, Inc.</w:t>
      </w:r>
      <w:r>
        <w:rPr>
          <w:rFonts w:ascii="Times New Roman" w:hAnsi="Times New Roman"/>
          <w:b/>
          <w:color w:val="000000"/>
          <w:sz w:val="24"/>
        </w:rPr>
        <w:t xml:space="preserve">, </w:t>
      </w:r>
      <w:r>
        <w:rPr>
          <w:rFonts w:ascii="Times New Roman" w:hAnsi="Times New Roman"/>
          <w:b/>
          <w:color w:val="000000"/>
          <w:sz w:val="16"/>
        </w:rPr>
        <w:br/>
      </w:r>
      <w:r>
        <w:rPr>
          <w:rFonts w:ascii="Times New Roman" w:hAnsi="Times New Roman"/>
          <w:color w:val="000000"/>
          <w:sz w:val="24"/>
        </w:rPr>
        <w:t>a Delaware corporation;</w:t>
      </w:r>
    </w:p>
    <w:p>
      <w:pPr>
        <w:pStyle w:val="TextBody"/>
        <w:bidi w:val="0"/>
        <w:spacing w:before="0" w:after="240"/>
        <w:jc w:val="center"/>
        <w:rPr>
          <w:rFonts w:ascii="Times New Roman" w:hAnsi="Times New Roman"/>
          <w:sz w:val="16"/>
        </w:rPr>
      </w:pPr>
      <w:r>
        <w:rPr>
          <w:rFonts w:ascii="Times New Roman" w:hAnsi="Times New Roman"/>
          <w:b/>
          <w:color w:val="000000"/>
          <w:sz w:val="24"/>
        </w:rPr>
        <w:t xml:space="preserve">PRINCE MERGER SUB I, INC., </w:t>
      </w:r>
      <w:r>
        <w:rPr>
          <w:rFonts w:ascii="Times New Roman" w:hAnsi="Times New Roman"/>
          <w:b/>
          <w:color w:val="000000"/>
          <w:sz w:val="16"/>
        </w:rPr>
        <w:br/>
      </w:r>
      <w:r>
        <w:rPr>
          <w:rFonts w:ascii="Times New Roman" w:hAnsi="Times New Roman"/>
          <w:color w:val="000000"/>
          <w:sz w:val="24"/>
        </w:rPr>
        <w:t>a Delaware corporation;</w:t>
      </w:r>
    </w:p>
    <w:p>
      <w:pPr>
        <w:pStyle w:val="TextBody"/>
        <w:bidi w:val="0"/>
        <w:spacing w:before="0" w:after="240"/>
        <w:jc w:val="center"/>
        <w:rPr>
          <w:rFonts w:ascii="Times New Roman" w:hAnsi="Times New Roman"/>
          <w:sz w:val="16"/>
        </w:rPr>
      </w:pPr>
      <w:r>
        <w:rPr>
          <w:rFonts w:ascii="Times New Roman" w:hAnsi="Times New Roman"/>
          <w:b/>
          <w:color w:val="000000"/>
          <w:sz w:val="24"/>
        </w:rPr>
        <w:t xml:space="preserve">PRINCE MERGER SUB II, LLC, </w:t>
      </w:r>
      <w:r>
        <w:rPr>
          <w:rFonts w:ascii="Times New Roman" w:hAnsi="Times New Roman"/>
          <w:b/>
          <w:color w:val="000000"/>
          <w:sz w:val="16"/>
        </w:rPr>
        <w:br/>
      </w:r>
      <w:r>
        <w:rPr>
          <w:rFonts w:ascii="Times New Roman" w:hAnsi="Times New Roman"/>
          <w:color w:val="000000"/>
          <w:sz w:val="24"/>
        </w:rPr>
        <w:t>a Delaware limited liability company;</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rFonts w:ascii="Times New Roman" w:hAnsi="Times New Roman"/>
          <w:sz w:val="16"/>
        </w:rPr>
      </w:pPr>
      <w:r>
        <w:rPr>
          <w:rFonts w:ascii="Times New Roman" w:hAnsi="Times New Roman"/>
          <w:b/>
          <w:color w:val="000000"/>
          <w:sz w:val="24"/>
        </w:rPr>
        <w:t xml:space="preserve">PRANA THERAPIES, INC., </w:t>
      </w:r>
      <w:r>
        <w:rPr>
          <w:rFonts w:ascii="Times New Roman" w:hAnsi="Times New Roman"/>
          <w:b/>
          <w:color w:val="000000"/>
          <w:sz w:val="16"/>
        </w:rPr>
        <w:br/>
      </w:r>
      <w:r>
        <w:rPr>
          <w:rFonts w:ascii="Times New Roman" w:hAnsi="Times New Roman"/>
          <w:color w:val="000000"/>
          <w:sz w:val="24"/>
        </w:rPr>
        <w:t>a Delaware corporation;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Dated as of October 23, 2026</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526"/>
        <w:gridCol w:w="8872"/>
        <w:gridCol w:w="646"/>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87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559"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Page</w:t>
            </w:r>
          </w:p>
        </w:tc>
      </w:tr>
      <w:tr>
        <w:trPr/>
        <w:tc>
          <w:tcPr>
            <w:tcW w:w="9559" w:type="dxa"/>
            <w:gridSpan w:val="3"/>
            <w:tcBorders/>
            <w:tcMar>
              <w:top w:w="0" w:type="dxa"/>
              <w:left w:w="0" w:type="dxa"/>
              <w:bottom w:w="0" w:type="dxa"/>
              <w:right w:w="0" w:type="dxa"/>
            </w:tcMar>
            <w:vAlign w:val="center"/>
          </w:tcPr>
          <w:p>
            <w:pPr>
              <w:pStyle w:val="TableContents"/>
              <w:bidi w:val="0"/>
              <w:spacing w:before="40" w:after="283"/>
              <w:jc w:val="both"/>
              <w:rPr/>
            </w:pPr>
            <w:hyperlink w:anchor="description_of_transaction">
              <w:r>
                <w:rPr>
                  <w:rStyle w:val="InternetLink"/>
                  <w:rFonts w:ascii="Times New Roman" w:hAnsi="Times New Roman"/>
                  <w:color w:val="0000FF"/>
                  <w:sz w:val="22"/>
                  <w:u w:val="single"/>
                </w:rPr>
                <w:t>SECTION 1.DESCRIPTION OF TRANSACTION</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1.1</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the_merger">
              <w:r>
                <w:rPr>
                  <w:rStyle w:val="InternetLink"/>
                  <w:rFonts w:ascii="Times New Roman" w:hAnsi="Times New Roman"/>
                  <w:color w:val="0000FF"/>
                  <w:sz w:val="22"/>
                  <w:u w:val="single"/>
                </w:rPr>
                <w:t>The Merger</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1.2</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effects_of_the_merger">
              <w:r>
                <w:rPr>
                  <w:rStyle w:val="InternetLink"/>
                  <w:rFonts w:ascii="Times New Roman" w:hAnsi="Times New Roman"/>
                  <w:color w:val="0000FF"/>
                  <w:sz w:val="24"/>
                  <w:u w:val="single"/>
                </w:rPr>
                <w:t>Effects of the Merger</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1.3</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closing_first_effective_time">
              <w:r>
                <w:rPr>
                  <w:rStyle w:val="InternetLink"/>
                  <w:rFonts w:ascii="Times New Roman" w:hAnsi="Times New Roman"/>
                  <w:color w:val="0000FF"/>
                  <w:sz w:val="24"/>
                  <w:u w:val="single"/>
                </w:rPr>
                <w:t>Closing; First Effective Time; Second Effective Time</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1.4</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series_d_certificate_of_designation">
              <w:r>
                <w:rPr>
                  <w:rStyle w:val="InternetLink"/>
                  <w:rFonts w:ascii="Times New Roman" w:hAnsi="Times New Roman"/>
                  <w:color w:val="0000FF"/>
                  <w:sz w:val="24"/>
                  <w:u w:val="single"/>
                </w:rPr>
                <w:t>Series D Certificate of Designation; Certificate of Incorporation and Bylaws; Directors and Officers.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1.5</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merger_consideration">
              <w:r>
                <w:rPr>
                  <w:rStyle w:val="InternetLink"/>
                  <w:rFonts w:ascii="Times New Roman" w:hAnsi="Times New Roman"/>
                  <w:color w:val="0000FF"/>
                  <w:sz w:val="24"/>
                  <w:u w:val="single"/>
                </w:rPr>
                <w:t>Merger Consideration; Effect of Merger on Company Capital Stock</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1.6</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conversion_of_shares">
              <w:r>
                <w:rPr>
                  <w:rStyle w:val="InternetLink"/>
                  <w:rFonts w:ascii="Times New Roman" w:hAnsi="Times New Roman"/>
                  <w:color w:val="0000FF"/>
                  <w:sz w:val="24"/>
                  <w:u w:val="single"/>
                </w:rPr>
                <w:t>Conversion of Shares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1.7</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closing_of_the_company">
              <w:r>
                <w:rPr>
                  <w:rStyle w:val="InternetLink"/>
                  <w:rFonts w:ascii="Times New Roman" w:hAnsi="Times New Roman"/>
                  <w:color w:val="0000FF"/>
                  <w:sz w:val="24"/>
                  <w:u w:val="single"/>
                </w:rPr>
                <w:t>Closing of the Company’s Transfer Books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1.8</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exchange_of_shares">
              <w:r>
                <w:rPr>
                  <w:rStyle w:val="InternetLink"/>
                  <w:rFonts w:ascii="Times New Roman" w:hAnsi="Times New Roman"/>
                  <w:color w:val="0000FF"/>
                  <w:sz w:val="24"/>
                  <w:u w:val="single"/>
                </w:rPr>
                <w:t>Exchange of Shares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8</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1.9</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company_options">
              <w:r>
                <w:rPr>
                  <w:rStyle w:val="InternetLink"/>
                  <w:rFonts w:ascii="Times New Roman" w:hAnsi="Times New Roman"/>
                  <w:color w:val="0000FF"/>
                  <w:sz w:val="24"/>
                  <w:u w:val="single"/>
                </w:rPr>
                <w:t>Company Options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9</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1.10</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appraisal_rights">
              <w:r>
                <w:rPr>
                  <w:rStyle w:val="InternetLink"/>
                  <w:rFonts w:ascii="Times New Roman" w:hAnsi="Times New Roman"/>
                  <w:color w:val="0000FF"/>
                  <w:sz w:val="24"/>
                  <w:u w:val="single"/>
                </w:rPr>
                <w:t>Appraisal Rights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9</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1.11</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calculation_of_parent_net_cash">
              <w:r>
                <w:rPr>
                  <w:rStyle w:val="InternetLink"/>
                  <w:rFonts w:ascii="Times New Roman" w:hAnsi="Times New Roman"/>
                  <w:color w:val="0000FF"/>
                  <w:sz w:val="24"/>
                  <w:u w:val="single"/>
                </w:rPr>
                <w:t>Calculation of Parent Net Cash</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10</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1.12</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further_action">
              <w:r>
                <w:rPr>
                  <w:rStyle w:val="InternetLink"/>
                  <w:rFonts w:ascii="Times New Roman" w:hAnsi="Times New Roman"/>
                  <w:color w:val="0000FF"/>
                  <w:sz w:val="24"/>
                  <w:u w:val="single"/>
                </w:rPr>
                <w:t>Further Action</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10</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1.13</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withholding">
              <w:r>
                <w:rPr>
                  <w:rStyle w:val="InternetLink"/>
                  <w:rFonts w:ascii="Times New Roman" w:hAnsi="Times New Roman"/>
                  <w:color w:val="0000FF"/>
                  <w:sz w:val="24"/>
                  <w:u w:val="single"/>
                </w:rPr>
                <w:t>Withholding</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10</w:t>
            </w:r>
          </w:p>
        </w:tc>
      </w:tr>
      <w:tr>
        <w:trPr/>
        <w:tc>
          <w:tcPr>
            <w:tcW w:w="9559" w:type="dxa"/>
            <w:gridSpan w:val="3"/>
            <w:tcBorders/>
            <w:tcMar>
              <w:top w:w="0" w:type="dxa"/>
              <w:left w:w="0" w:type="dxa"/>
              <w:bottom w:w="0" w:type="dxa"/>
              <w:right w:w="0" w:type="dxa"/>
            </w:tcMar>
            <w:vAlign w:val="center"/>
          </w:tcPr>
          <w:p>
            <w:pPr>
              <w:pStyle w:val="TableContents"/>
              <w:bidi w:val="0"/>
              <w:spacing w:before="40" w:after="283"/>
              <w:jc w:val="both"/>
              <w:rPr/>
            </w:pPr>
            <w:hyperlink w:anchor="sec_2_representations_and_warrantie">
              <w:r>
                <w:rPr>
                  <w:rStyle w:val="InternetLink"/>
                  <w:rFonts w:ascii="Times New Roman" w:hAnsi="Times New Roman"/>
                  <w:color w:val="0000FF"/>
                  <w:sz w:val="24"/>
                  <w:u w:val="single"/>
                </w:rPr>
                <w:t>SECTION 2. REPRESENTATIONS AND WARRANTIES OF THE COMPANY</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11</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due_organization_subsidiaries">
              <w:r>
                <w:rPr>
                  <w:rStyle w:val="InternetLink"/>
                  <w:rFonts w:ascii="Times New Roman" w:hAnsi="Times New Roman"/>
                  <w:color w:val="0000FF"/>
                  <w:sz w:val="24"/>
                  <w:u w:val="single"/>
                </w:rPr>
                <w:t>Due Organization; Subsidiaries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11</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2.2</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organizational_documents">
              <w:r>
                <w:rPr>
                  <w:rStyle w:val="InternetLink"/>
                  <w:rFonts w:ascii="Times New Roman" w:hAnsi="Times New Roman"/>
                  <w:color w:val="0000FF"/>
                  <w:sz w:val="24"/>
                  <w:u w:val="single"/>
                </w:rPr>
                <w:t>Organizational Documents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12</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2.3</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authority_binding_nature_agreement">
              <w:r>
                <w:rPr>
                  <w:rStyle w:val="InternetLink"/>
                  <w:rFonts w:ascii="Times New Roman" w:hAnsi="Times New Roman"/>
                  <w:color w:val="0000FF"/>
                  <w:sz w:val="24"/>
                  <w:u w:val="single"/>
                </w:rPr>
                <w:t>Authority; Binding Nature of Agreement</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12</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2.4</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vote_required">
              <w:r>
                <w:rPr>
                  <w:rStyle w:val="InternetLink"/>
                  <w:rFonts w:ascii="Times New Roman" w:hAnsi="Times New Roman"/>
                  <w:color w:val="0000FF"/>
                  <w:sz w:val="24"/>
                  <w:u w:val="single"/>
                </w:rPr>
                <w:t>Vote Required</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12</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2.5</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non_contravention_consents">
              <w:r>
                <w:rPr>
                  <w:rStyle w:val="InternetLink"/>
                  <w:rFonts w:ascii="Times New Roman" w:hAnsi="Times New Roman"/>
                  <w:color w:val="0000FF"/>
                  <w:sz w:val="24"/>
                  <w:u w:val="single"/>
                </w:rPr>
                <w:t>Non-Contravention: Consents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12</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2.6</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capitalization">
              <w:r>
                <w:rPr>
                  <w:rStyle w:val="InternetLink"/>
                  <w:rFonts w:ascii="Times New Roman" w:hAnsi="Times New Roman"/>
                  <w:color w:val="0000FF"/>
                  <w:sz w:val="24"/>
                  <w:u w:val="single"/>
                </w:rPr>
                <w:t>Capitalization</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13</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2.7</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financial_statements">
              <w:r>
                <w:rPr>
                  <w:rStyle w:val="InternetLink"/>
                  <w:rFonts w:ascii="Times New Roman" w:hAnsi="Times New Roman"/>
                  <w:color w:val="0000FF"/>
                  <w:sz w:val="24"/>
                  <w:u w:val="single"/>
                </w:rPr>
                <w:t>Financial Statements.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15</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2.8</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absence_of_changes">
              <w:r>
                <w:rPr>
                  <w:rStyle w:val="InternetLink"/>
                  <w:rFonts w:ascii="Times New Roman" w:hAnsi="Times New Roman"/>
                  <w:color w:val="0000FF"/>
                  <w:sz w:val="24"/>
                  <w:u w:val="single"/>
                </w:rPr>
                <w:t>Absence of Changes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16</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2.9</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absence_undisclosed_liabilities">
              <w:r>
                <w:rPr>
                  <w:rStyle w:val="InternetLink"/>
                  <w:rFonts w:ascii="Times New Roman" w:hAnsi="Times New Roman"/>
                  <w:color w:val="0000FF"/>
                  <w:sz w:val="24"/>
                  <w:u w:val="single"/>
                </w:rPr>
                <w:t>Absence of Undisclosed Liabilities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18</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2.10</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title_to_assets">
              <w:r>
                <w:rPr>
                  <w:rStyle w:val="InternetLink"/>
                  <w:rFonts w:ascii="Times New Roman" w:hAnsi="Times New Roman"/>
                  <w:color w:val="0000FF"/>
                  <w:sz w:val="24"/>
                  <w:u w:val="single"/>
                </w:rPr>
                <w:t>Title to Assets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18</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2.11</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real_property_leasehold">
              <w:r>
                <w:rPr>
                  <w:rStyle w:val="InternetLink"/>
                  <w:rFonts w:ascii="Times New Roman" w:hAnsi="Times New Roman"/>
                  <w:color w:val="0000FF"/>
                  <w:sz w:val="24"/>
                  <w:u w:val="single"/>
                </w:rPr>
                <w:t>Real Property; Leasehold</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18</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2.12</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intellectual_property_privacy">
              <w:r>
                <w:rPr>
                  <w:rStyle w:val="InternetLink"/>
                  <w:rFonts w:ascii="Times New Roman" w:hAnsi="Times New Roman"/>
                  <w:color w:val="0000FF"/>
                  <w:sz w:val="24"/>
                  <w:u w:val="single"/>
                </w:rPr>
                <w:t>Intellectual Property; Privacy.</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19</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2.13</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agreements_contracts_and_commitments">
              <w:r>
                <w:rPr>
                  <w:rStyle w:val="InternetLink"/>
                  <w:rFonts w:ascii="Times New Roman" w:hAnsi="Times New Roman"/>
                  <w:color w:val="0000FF"/>
                  <w:sz w:val="24"/>
                  <w:u w:val="single"/>
                </w:rPr>
                <w:t>Agreements, Contracts and Commitments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21</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2.14</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compliance_permits_restrictions">
              <w:r>
                <w:rPr>
                  <w:rStyle w:val="InternetLink"/>
                  <w:rFonts w:ascii="Times New Roman" w:hAnsi="Times New Roman"/>
                  <w:color w:val="0000FF"/>
                  <w:sz w:val="24"/>
                  <w:u w:val="single"/>
                </w:rPr>
                <w:t>Compliance; Permits; Restrictions.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23</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2.15</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legal_proceedings_orders">
              <w:r>
                <w:rPr>
                  <w:rStyle w:val="InternetLink"/>
                  <w:rFonts w:ascii="Times New Roman" w:hAnsi="Times New Roman"/>
                  <w:color w:val="0000FF"/>
                  <w:sz w:val="24"/>
                  <w:u w:val="single"/>
                </w:rPr>
                <w:t>Legal Proceedings; Orders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26</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2.16</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tax_matters">
              <w:r>
                <w:rPr>
                  <w:rStyle w:val="InternetLink"/>
                  <w:rFonts w:ascii="Times New Roman" w:hAnsi="Times New Roman"/>
                  <w:color w:val="0000FF"/>
                  <w:sz w:val="24"/>
                  <w:u w:val="single"/>
                </w:rPr>
                <w:t>Tax Matters.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26</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2.17</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employee_and_labor_matters_benefit">
              <w:r>
                <w:rPr>
                  <w:rStyle w:val="InternetLink"/>
                  <w:rFonts w:ascii="Times New Roman" w:hAnsi="Times New Roman"/>
                  <w:color w:val="0000FF"/>
                  <w:sz w:val="24"/>
                  <w:u w:val="single"/>
                </w:rPr>
                <w:t>Employee and Labor Matters; Benefit Plans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28</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2.18</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environmental_matter">
              <w:r>
                <w:rPr>
                  <w:rStyle w:val="InternetLink"/>
                  <w:rFonts w:ascii="Times New Roman" w:hAnsi="Times New Roman"/>
                  <w:color w:val="0000FF"/>
                  <w:sz w:val="24"/>
                  <w:u w:val="single"/>
                </w:rPr>
                <w:t>Environmental Matters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32</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2.19</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insurance">
              <w:r>
                <w:rPr>
                  <w:rStyle w:val="InternetLink"/>
                  <w:rFonts w:ascii="Times New Roman" w:hAnsi="Times New Roman"/>
                  <w:color w:val="0000FF"/>
                  <w:sz w:val="24"/>
                  <w:u w:val="single"/>
                </w:rPr>
                <w:t>Insurance</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32</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2.20</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no_financial_advisors">
              <w:r>
                <w:rPr>
                  <w:rStyle w:val="InternetLink"/>
                  <w:rFonts w:ascii="Times New Roman" w:hAnsi="Times New Roman"/>
                  <w:color w:val="0000FF"/>
                  <w:sz w:val="24"/>
                  <w:u w:val="single"/>
                </w:rPr>
                <w:t>No Financial Advisors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2.21</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transactions_with_affiliates">
              <w:r>
                <w:rPr>
                  <w:rStyle w:val="InternetLink"/>
                  <w:rFonts w:ascii="Times New Roman" w:hAnsi="Times New Roman"/>
                  <w:color w:val="0000FF"/>
                  <w:sz w:val="24"/>
                  <w:u w:val="single"/>
                </w:rPr>
                <w:t>Transactions with Affiliates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2.22</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anti_bribery">
              <w:r>
                <w:rPr>
                  <w:rStyle w:val="InternetLink"/>
                  <w:rFonts w:ascii="Times New Roman" w:hAnsi="Times New Roman"/>
                  <w:color w:val="0000FF"/>
                  <w:sz w:val="24"/>
                  <w:u w:val="single"/>
                </w:rPr>
                <w:t>Anti-Bribery</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2.23</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accredited_investor">
              <w:r>
                <w:rPr>
                  <w:rStyle w:val="InternetLink"/>
                  <w:rFonts w:ascii="Times New Roman" w:hAnsi="Times New Roman"/>
                  <w:color w:val="0000FF"/>
                  <w:sz w:val="24"/>
                  <w:u w:val="single"/>
                </w:rPr>
                <w:t>Accredited Investor</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34</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2.24</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export_control_and_sanctions_compliance">
              <w:r>
                <w:rPr>
                  <w:rStyle w:val="InternetLink"/>
                  <w:rFonts w:ascii="Times New Roman" w:hAnsi="Times New Roman"/>
                  <w:color w:val="0000FF"/>
                  <w:sz w:val="24"/>
                  <w:u w:val="single"/>
                </w:rPr>
                <w:t>Export Control and Sanctions Compliance</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34</w:t>
            </w:r>
          </w:p>
        </w:tc>
      </w:tr>
      <w:tr>
        <w:trPr/>
        <w:tc>
          <w:tcPr>
            <w:tcW w:w="161" w:type="dxa"/>
            <w:tcBorders/>
            <w:tcMar>
              <w:top w:w="0" w:type="dxa"/>
              <w:left w:w="0" w:type="dxa"/>
              <w:bottom w:w="0" w:type="dxa"/>
              <w:right w:w="0" w:type="dxa"/>
            </w:tcMar>
            <w:vAlign w:val="center"/>
          </w:tcPr>
          <w:p>
            <w:pPr>
              <w:pStyle w:val="TableContents"/>
              <w:bidi w:val="0"/>
              <w:spacing w:before="40" w:after="283"/>
              <w:jc w:val="both"/>
              <w:rPr/>
            </w:pPr>
            <w:r>
              <w:rPr/>
              <w:t> </w:t>
            </w:r>
          </w:p>
        </w:tc>
        <w:tc>
          <w:tcPr>
            <w:tcW w:w="52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2.25</w:t>
            </w:r>
          </w:p>
        </w:tc>
        <w:tc>
          <w:tcPr>
            <w:tcW w:w="8872" w:type="dxa"/>
            <w:tcBorders/>
            <w:tcMar>
              <w:top w:w="0" w:type="dxa"/>
              <w:left w:w="0" w:type="dxa"/>
              <w:bottom w:w="0" w:type="dxa"/>
              <w:right w:w="0" w:type="dxa"/>
            </w:tcMar>
            <w:vAlign w:val="center"/>
          </w:tcPr>
          <w:p>
            <w:pPr>
              <w:pStyle w:val="TableContents"/>
              <w:bidi w:val="0"/>
              <w:spacing w:before="40" w:after="283"/>
              <w:jc w:val="both"/>
              <w:rPr/>
            </w:pPr>
            <w:hyperlink w:anchor="disclaimer_of_other_representations">
              <w:r>
                <w:rPr>
                  <w:rStyle w:val="InternetLink"/>
                  <w:rFonts w:ascii="Times New Roman" w:hAnsi="Times New Roman"/>
                  <w:color w:val="0000FF"/>
                  <w:sz w:val="24"/>
                  <w:u w:val="single"/>
                </w:rPr>
                <w:t>Disclaimer of Other Representations or Warranties</w:t>
              </w:r>
            </w:hyperlink>
          </w:p>
        </w:tc>
        <w:tc>
          <w:tcPr>
            <w:tcW w:w="64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141" w:type="dxa"/>
        <w:jc w:val="left"/>
        <w:tblInd w:w="0" w:type="dxa"/>
        <w:tblLayout w:type="fixed"/>
        <w:tblCellMar>
          <w:top w:w="28" w:type="dxa"/>
          <w:left w:w="28" w:type="dxa"/>
          <w:bottom w:w="28" w:type="dxa"/>
          <w:right w:w="28" w:type="dxa"/>
        </w:tblCellMar>
      </w:tblPr>
      <w:tblGrid>
        <w:gridCol w:w="180"/>
        <w:gridCol w:w="588"/>
        <w:gridCol w:w="8982"/>
        <w:gridCol w:w="391"/>
      </w:tblGrid>
      <w:tr>
        <w:trPr/>
        <w:tc>
          <w:tcPr>
            <w:tcW w:w="18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750" w:type="dxa"/>
            <w:gridSpan w:val="3"/>
            <w:tcBorders/>
            <w:tcMar>
              <w:top w:w="0" w:type="dxa"/>
              <w:left w:w="0" w:type="dxa"/>
              <w:bottom w:w="0" w:type="dxa"/>
              <w:right w:w="0" w:type="dxa"/>
            </w:tcMar>
            <w:vAlign w:val="center"/>
          </w:tcPr>
          <w:p>
            <w:pPr>
              <w:pStyle w:val="TableContents"/>
              <w:bidi w:val="0"/>
              <w:spacing w:before="40" w:after="283"/>
              <w:jc w:val="both"/>
              <w:rPr/>
            </w:pPr>
            <w:hyperlink w:anchor="sec_3_representations_and_warranties">
              <w:r>
                <w:rPr>
                  <w:rStyle w:val="InternetLink"/>
                  <w:rFonts w:ascii="Times New Roman" w:hAnsi="Times New Roman"/>
                  <w:color w:val="0000FF"/>
                  <w:sz w:val="24"/>
                  <w:u w:val="single"/>
                </w:rPr>
                <w:t>SECTION 3. REPRESENTATIONS AND WARRANTIES OF PARENT AND MERGER SUBS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35</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due_organization_subsidiaries_3">
              <w:r>
                <w:rPr>
                  <w:rStyle w:val="InternetLink"/>
                  <w:rFonts w:ascii="Times New Roman" w:hAnsi="Times New Roman"/>
                  <w:color w:val="0000FF"/>
                  <w:sz w:val="24"/>
                  <w:u w:val="single"/>
                </w:rPr>
                <w:t>Due Organization; Subsidiaries.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35</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organizational_documents_3">
              <w:r>
                <w:rPr>
                  <w:rStyle w:val="InternetLink"/>
                  <w:rFonts w:ascii="Times New Roman" w:hAnsi="Times New Roman"/>
                  <w:color w:val="0000FF"/>
                  <w:sz w:val="24"/>
                  <w:u w:val="single"/>
                </w:rPr>
                <w:t>Organizational Documents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36</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3.3</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authority_binding_nature_3">
              <w:r>
                <w:rPr>
                  <w:rStyle w:val="InternetLink"/>
                  <w:rFonts w:ascii="Times New Roman" w:hAnsi="Times New Roman"/>
                  <w:color w:val="0000FF"/>
                  <w:sz w:val="24"/>
                  <w:u w:val="single"/>
                </w:rPr>
                <w:t>Authority; Binding Nature of Agreement</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36</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3.4</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vote_required_3">
              <w:r>
                <w:rPr>
                  <w:rStyle w:val="InternetLink"/>
                  <w:rFonts w:ascii="Times New Roman" w:hAnsi="Times New Roman"/>
                  <w:color w:val="0000FF"/>
                  <w:sz w:val="24"/>
                  <w:u w:val="single"/>
                </w:rPr>
                <w:t>Vote Required</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37</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3.5</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non_contravention_consents_3">
              <w:r>
                <w:rPr>
                  <w:rStyle w:val="InternetLink"/>
                  <w:rFonts w:ascii="Times New Roman" w:hAnsi="Times New Roman"/>
                  <w:color w:val="0000FF"/>
                  <w:sz w:val="24"/>
                  <w:u w:val="single"/>
                </w:rPr>
                <w:t>Non-Contravention: Consents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37</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3.6</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capitalization_3">
              <w:r>
                <w:rPr>
                  <w:rStyle w:val="InternetLink"/>
                  <w:rFonts w:ascii="Times New Roman" w:hAnsi="Times New Roman"/>
                  <w:color w:val="0000FF"/>
                  <w:sz w:val="24"/>
                  <w:u w:val="single"/>
                </w:rPr>
                <w:t>Capitalization.</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38</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3.7</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sec_filings_financial_statements">
              <w:r>
                <w:rPr>
                  <w:rStyle w:val="InternetLink"/>
                  <w:rFonts w:ascii="Times New Roman" w:hAnsi="Times New Roman"/>
                  <w:color w:val="0000FF"/>
                  <w:sz w:val="24"/>
                  <w:u w:val="single"/>
                </w:rPr>
                <w:t>SEC Filings; Financial Statements.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3.8</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absence_of_changes_3">
              <w:r>
                <w:rPr>
                  <w:rStyle w:val="InternetLink"/>
                  <w:rFonts w:ascii="Times New Roman" w:hAnsi="Times New Roman"/>
                  <w:color w:val="0000FF"/>
                  <w:sz w:val="24"/>
                  <w:u w:val="single"/>
                </w:rPr>
                <w:t>Absence of Changes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42</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3.9</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absence_of_undisclosed_liabilities">
              <w:r>
                <w:rPr>
                  <w:rStyle w:val="InternetLink"/>
                  <w:rFonts w:ascii="Times New Roman" w:hAnsi="Times New Roman"/>
                  <w:color w:val="0000FF"/>
                  <w:sz w:val="24"/>
                  <w:u w:val="single"/>
                </w:rPr>
                <w:t>Absence of Undisclosed Liabilities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44</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3.10</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title_to_assets_3">
              <w:r>
                <w:rPr>
                  <w:rStyle w:val="InternetLink"/>
                  <w:rFonts w:ascii="Times New Roman" w:hAnsi="Times New Roman"/>
                  <w:color w:val="0000FF"/>
                  <w:sz w:val="24"/>
                  <w:u w:val="single"/>
                </w:rPr>
                <w:t>Title to Assets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44</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3.11</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real_property_leasehold_3">
              <w:r>
                <w:rPr>
                  <w:rStyle w:val="InternetLink"/>
                  <w:rFonts w:ascii="Times New Roman" w:hAnsi="Times New Roman"/>
                  <w:color w:val="0000FF"/>
                  <w:sz w:val="24"/>
                  <w:u w:val="single"/>
                </w:rPr>
                <w:t>Real Property; Leasehold</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45</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3.12</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intellectual_property_privacy_3">
              <w:r>
                <w:rPr>
                  <w:rStyle w:val="InternetLink"/>
                  <w:rFonts w:ascii="Times New Roman" w:hAnsi="Times New Roman"/>
                  <w:color w:val="0000FF"/>
                  <w:sz w:val="24"/>
                  <w:u w:val="single"/>
                </w:rPr>
                <w:t>Intellectual Property; Privacy.</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45</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3.13</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agreements_contracts_commitment_3">
              <w:r>
                <w:rPr>
                  <w:rStyle w:val="InternetLink"/>
                  <w:rFonts w:ascii="Times New Roman" w:hAnsi="Times New Roman"/>
                  <w:color w:val="0000FF"/>
                  <w:sz w:val="24"/>
                  <w:u w:val="single"/>
                </w:rPr>
                <w:t>Agreements, Contracts and Commitments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47</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3.14</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compliance_permits_3">
              <w:r>
                <w:rPr>
                  <w:rStyle w:val="InternetLink"/>
                  <w:rFonts w:ascii="Times New Roman" w:hAnsi="Times New Roman"/>
                  <w:color w:val="0000FF"/>
                  <w:sz w:val="24"/>
                  <w:u w:val="single"/>
                </w:rPr>
                <w:t>Compliance; Permits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3.15</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legal_proceedings_orders_3">
              <w:r>
                <w:rPr>
                  <w:rStyle w:val="InternetLink"/>
                  <w:rFonts w:ascii="Times New Roman" w:hAnsi="Times New Roman"/>
                  <w:color w:val="0000FF"/>
                  <w:sz w:val="24"/>
                  <w:u w:val="single"/>
                </w:rPr>
                <w:t>Legal Proceedings; Orders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52</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3.16</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tax_matters_3">
              <w:r>
                <w:rPr>
                  <w:rStyle w:val="InternetLink"/>
                  <w:rFonts w:ascii="Times New Roman" w:hAnsi="Times New Roman"/>
                  <w:color w:val="0000FF"/>
                  <w:sz w:val="24"/>
                  <w:u w:val="single"/>
                </w:rPr>
                <w:t>Tax Matters.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52</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3.17</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employee_and_labor_matters_3">
              <w:r>
                <w:rPr>
                  <w:rStyle w:val="InternetLink"/>
                  <w:rFonts w:ascii="Times New Roman" w:hAnsi="Times New Roman"/>
                  <w:color w:val="0000FF"/>
                  <w:sz w:val="24"/>
                  <w:u w:val="single"/>
                </w:rPr>
                <w:t>Employee and Labor Matters; Benefit Plans.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54</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3.18</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environmental_matters_3">
              <w:r>
                <w:rPr>
                  <w:rStyle w:val="InternetLink"/>
                  <w:rFonts w:ascii="Times New Roman" w:hAnsi="Times New Roman"/>
                  <w:color w:val="0000FF"/>
                  <w:sz w:val="24"/>
                  <w:u w:val="single"/>
                </w:rPr>
                <w:t>Environmental Matters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58</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3.19</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transactions_with_affiliates_3">
              <w:r>
                <w:rPr>
                  <w:rStyle w:val="InternetLink"/>
                  <w:rFonts w:ascii="Times New Roman" w:hAnsi="Times New Roman"/>
                  <w:color w:val="0000FF"/>
                  <w:sz w:val="24"/>
                  <w:u w:val="single"/>
                </w:rPr>
                <w:t>Transactions with Affiliates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3.20</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insurance_3">
              <w:r>
                <w:rPr>
                  <w:rStyle w:val="InternetLink"/>
                  <w:rFonts w:ascii="Times New Roman" w:hAnsi="Times New Roman"/>
                  <w:color w:val="0000FF"/>
                  <w:sz w:val="24"/>
                  <w:u w:val="single"/>
                </w:rPr>
                <w:t>Insurance</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3.21</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opinion_financial_advisor_3">
              <w:r>
                <w:rPr>
                  <w:rStyle w:val="InternetLink"/>
                  <w:rFonts w:ascii="Times New Roman" w:hAnsi="Times New Roman"/>
                  <w:color w:val="0000FF"/>
                  <w:sz w:val="24"/>
                  <w:u w:val="single"/>
                </w:rPr>
                <w:t>Opinion of Financial Advisor</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3.22</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no_financial_advisors_3">
              <w:r>
                <w:rPr>
                  <w:rStyle w:val="InternetLink"/>
                  <w:rFonts w:ascii="Times New Roman" w:hAnsi="Times New Roman"/>
                  <w:color w:val="0000FF"/>
                  <w:sz w:val="24"/>
                  <w:u w:val="single"/>
                </w:rPr>
                <w:t>No Financial Advisors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3.23</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anti_bribery_3">
              <w:r>
                <w:rPr>
                  <w:rStyle w:val="InternetLink"/>
                  <w:rFonts w:ascii="Times New Roman" w:hAnsi="Times New Roman"/>
                  <w:color w:val="0000FF"/>
                  <w:sz w:val="24"/>
                  <w:u w:val="single"/>
                </w:rPr>
                <w:t>Anti-Bribery</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59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3.24</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valid_issuance_3">
              <w:r>
                <w:rPr>
                  <w:rStyle w:val="InternetLink"/>
                  <w:rFonts w:ascii="Times New Roman" w:hAnsi="Times New Roman"/>
                  <w:color w:val="0000FF"/>
                  <w:sz w:val="24"/>
                  <w:u w:val="single"/>
                </w:rPr>
                <w:t>Valid Issuance</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3.25</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export_control_and_sanctions_compliace_3">
              <w:r>
                <w:rPr>
                  <w:rStyle w:val="InternetLink"/>
                  <w:rFonts w:ascii="Times New Roman" w:hAnsi="Times New Roman"/>
                  <w:color w:val="0000FF"/>
                  <w:sz w:val="24"/>
                  <w:u w:val="single"/>
                </w:rPr>
                <w:t>Export Control and Sanctions Compliance</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3.26</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outbound_investment_security_program_3">
              <w:r>
                <w:rPr>
                  <w:rStyle w:val="InternetLink"/>
                  <w:rFonts w:ascii="Times New Roman" w:hAnsi="Times New Roman"/>
                  <w:color w:val="0000FF"/>
                  <w:sz w:val="24"/>
                  <w:u w:val="single"/>
                </w:rPr>
                <w:t>Outbound Investment Security Program.</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3.27</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cfius_3">
              <w:r>
                <w:rPr>
                  <w:rStyle w:val="InternetLink"/>
                  <w:rFonts w:ascii="Times New Roman" w:hAnsi="Times New Roman"/>
                  <w:color w:val="0000FF"/>
                  <w:sz w:val="24"/>
                  <w:u w:val="single"/>
                </w:rPr>
                <w:t>CFIUS. .</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61</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3.28</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disclaimer_other_representations_3">
              <w:r>
                <w:rPr>
                  <w:rStyle w:val="InternetLink"/>
                  <w:rFonts w:ascii="Times New Roman" w:hAnsi="Times New Roman"/>
                  <w:color w:val="0000FF"/>
                  <w:sz w:val="24"/>
                  <w:u w:val="single"/>
                </w:rPr>
                <w:t>Disclaimer of Other Representations or Warranties.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61</w:t>
            </w:r>
          </w:p>
        </w:tc>
      </w:tr>
      <w:tr>
        <w:trPr/>
        <w:tc>
          <w:tcPr>
            <w:tcW w:w="9750" w:type="dxa"/>
            <w:gridSpan w:val="3"/>
            <w:tcBorders/>
            <w:tcMar>
              <w:top w:w="0" w:type="dxa"/>
              <w:left w:w="0" w:type="dxa"/>
              <w:bottom w:w="0" w:type="dxa"/>
              <w:right w:w="0" w:type="dxa"/>
            </w:tcMar>
            <w:vAlign w:val="center"/>
          </w:tcPr>
          <w:p>
            <w:pPr>
              <w:pStyle w:val="TableContents"/>
              <w:bidi w:val="0"/>
              <w:spacing w:before="40" w:after="283"/>
              <w:jc w:val="both"/>
              <w:rPr/>
            </w:pPr>
            <w:hyperlink w:anchor="sec_4_additional_agreements">
              <w:r>
                <w:rPr>
                  <w:rStyle w:val="InternetLink"/>
                  <w:rFonts w:ascii="Times New Roman" w:hAnsi="Times New Roman"/>
                  <w:color w:val="0000FF"/>
                  <w:sz w:val="24"/>
                  <w:u w:val="single"/>
                </w:rPr>
                <w:t>SECTION 4. ADDITIONAL AGREEMENTS OF THE PARTIES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61</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4.1</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company_stockholder_not_4">
              <w:r>
                <w:rPr>
                  <w:rStyle w:val="InternetLink"/>
                  <w:rFonts w:ascii="Times New Roman" w:hAnsi="Times New Roman"/>
                  <w:color w:val="0000FF"/>
                  <w:sz w:val="24"/>
                  <w:u w:val="single"/>
                </w:rPr>
                <w:t>Company Stockholder Notice</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61</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4.2</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parent_stockholders_meetings_4">
              <w:r>
                <w:rPr>
                  <w:rStyle w:val="InternetLink"/>
                  <w:rFonts w:ascii="Times New Roman" w:hAnsi="Times New Roman"/>
                  <w:color w:val="0000FF"/>
                  <w:sz w:val="24"/>
                  <w:u w:val="single"/>
                </w:rPr>
                <w:t>Parent Stockholders’ Meetings; Registration Statement</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62</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4.3</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proxy_statements_4">
              <w:r>
                <w:rPr>
                  <w:rStyle w:val="InternetLink"/>
                  <w:rFonts w:ascii="Times New Roman" w:hAnsi="Times New Roman"/>
                  <w:color w:val="0000FF"/>
                  <w:sz w:val="24"/>
                  <w:u w:val="single"/>
                </w:rPr>
                <w:t>Proxy Statements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63</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4.4</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reservation_parent_common_stoc_4">
              <w:r>
                <w:rPr>
                  <w:rStyle w:val="InternetLink"/>
                  <w:rFonts w:ascii="Times New Roman" w:hAnsi="Times New Roman"/>
                  <w:color w:val="0000FF"/>
                  <w:sz w:val="24"/>
                  <w:u w:val="single"/>
                </w:rPr>
                <w:t>Reservation of Parent Common Stock: Issuance of Shares of Parent Common Stock</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64</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4.5</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indemnification_officers_directors_4">
              <w:r>
                <w:rPr>
                  <w:rStyle w:val="InternetLink"/>
                  <w:rFonts w:ascii="Times New Roman" w:hAnsi="Times New Roman"/>
                  <w:color w:val="0000FF"/>
                  <w:sz w:val="24"/>
                  <w:u w:val="single"/>
                </w:rPr>
                <w:t>Indemnification of Officers and Directors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64</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4.6</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additional_agreement_4">
              <w:r>
                <w:rPr>
                  <w:rStyle w:val="InternetLink"/>
                  <w:rFonts w:ascii="Times New Roman" w:hAnsi="Times New Roman"/>
                  <w:color w:val="0000FF"/>
                  <w:sz w:val="24"/>
                  <w:u w:val="single"/>
                </w:rPr>
                <w:t>Additional Agreements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66</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4.7</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listing_4">
              <w:r>
                <w:rPr>
                  <w:rStyle w:val="InternetLink"/>
                  <w:rFonts w:ascii="Times New Roman" w:hAnsi="Times New Roman"/>
                  <w:color w:val="0000FF"/>
                  <w:sz w:val="24"/>
                  <w:u w:val="single"/>
                </w:rPr>
                <w:t>Listing</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66</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4.8</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tax_matters_4">
              <w:r>
                <w:rPr>
                  <w:rStyle w:val="InternetLink"/>
                  <w:rFonts w:ascii="Times New Roman" w:hAnsi="Times New Roman"/>
                  <w:color w:val="0000FF"/>
                  <w:sz w:val="24"/>
                  <w:u w:val="single"/>
                </w:rPr>
                <w:t>Tax Matters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66</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4.9</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legend_4">
              <w:r>
                <w:rPr>
                  <w:rStyle w:val="InternetLink"/>
                  <w:rFonts w:ascii="Times New Roman" w:hAnsi="Times New Roman"/>
                  <w:color w:val="0000FF"/>
                  <w:sz w:val="24"/>
                  <w:u w:val="single"/>
                </w:rPr>
                <w:t>Legends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67</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4.10</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directors_and_officers_4">
              <w:r>
                <w:rPr>
                  <w:rStyle w:val="InternetLink"/>
                  <w:rFonts w:ascii="Times New Roman" w:hAnsi="Times New Roman"/>
                  <w:color w:val="0000FF"/>
                  <w:sz w:val="24"/>
                  <w:u w:val="single"/>
                </w:rPr>
                <w:t>Directors and Officers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67</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4.11</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section_matters_4">
              <w:r>
                <w:rPr>
                  <w:rStyle w:val="InternetLink"/>
                  <w:rFonts w:ascii="Times New Roman" w:hAnsi="Times New Roman"/>
                  <w:color w:val="0000FF"/>
                  <w:sz w:val="24"/>
                  <w:u w:val="single"/>
                </w:rPr>
                <w:t>Section 16 Matters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67</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8"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4.12</w:t>
            </w:r>
          </w:p>
        </w:tc>
        <w:tc>
          <w:tcPr>
            <w:tcW w:w="8982" w:type="dxa"/>
            <w:tcBorders/>
            <w:tcMar>
              <w:top w:w="0" w:type="dxa"/>
              <w:left w:w="0" w:type="dxa"/>
              <w:bottom w:w="0" w:type="dxa"/>
              <w:right w:w="0" w:type="dxa"/>
            </w:tcMar>
            <w:vAlign w:val="center"/>
          </w:tcPr>
          <w:p>
            <w:pPr>
              <w:pStyle w:val="TableContents"/>
              <w:bidi w:val="0"/>
              <w:spacing w:before="40" w:after="283"/>
              <w:jc w:val="both"/>
              <w:rPr/>
            </w:pPr>
            <w:hyperlink w:anchor="cooperation_4">
              <w:r>
                <w:rPr>
                  <w:rStyle w:val="InternetLink"/>
                  <w:rFonts w:ascii="Times New Roman" w:hAnsi="Times New Roman"/>
                  <w:color w:val="0000FF"/>
                  <w:sz w:val="24"/>
                  <w:u w:val="single"/>
                </w:rPr>
                <w:t>Cooperation</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67</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8911" w:type="dxa"/>
        <w:jc w:val="left"/>
        <w:tblInd w:w="0" w:type="dxa"/>
        <w:tblLayout w:type="fixed"/>
        <w:tblCellMar>
          <w:top w:w="28" w:type="dxa"/>
          <w:left w:w="28" w:type="dxa"/>
          <w:bottom w:w="28" w:type="dxa"/>
          <w:right w:w="28" w:type="dxa"/>
        </w:tblCellMar>
      </w:tblPr>
      <w:tblGrid>
        <w:gridCol w:w="180"/>
        <w:gridCol w:w="589"/>
        <w:gridCol w:w="7751"/>
        <w:gridCol w:w="391"/>
      </w:tblGrid>
      <w:tr>
        <w:trPr/>
        <w:tc>
          <w:tcPr>
            <w:tcW w:w="18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4.13</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closing_certificates_4">
              <w:r>
                <w:rPr>
                  <w:rStyle w:val="InternetLink"/>
                  <w:rFonts w:ascii="Times New Roman" w:hAnsi="Times New Roman"/>
                  <w:color w:val="0000FF"/>
                  <w:sz w:val="24"/>
                  <w:u w:val="single"/>
                </w:rPr>
                <w:t>Closing Certificates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68</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4.14</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takeover_statute_4">
              <w:r>
                <w:rPr>
                  <w:rStyle w:val="InternetLink"/>
                  <w:rFonts w:ascii="Times New Roman" w:hAnsi="Times New Roman"/>
                  <w:color w:val="0000FF"/>
                  <w:sz w:val="24"/>
                  <w:u w:val="single"/>
                </w:rPr>
                <w:t>Takeover Statutes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68</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4.15</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parent_options_4">
              <w:r>
                <w:rPr>
                  <w:rStyle w:val="InternetLink"/>
                  <w:rFonts w:ascii="Times New Roman" w:hAnsi="Times New Roman"/>
                  <w:color w:val="0000FF"/>
                  <w:sz w:val="24"/>
                  <w:u w:val="single"/>
                </w:rPr>
                <w:t>Parent Options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68</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4.16</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obligations_merger_subs_4">
              <w:r>
                <w:rPr>
                  <w:rStyle w:val="InternetLink"/>
                  <w:rFonts w:ascii="Times New Roman" w:hAnsi="Times New Roman"/>
                  <w:color w:val="0000FF"/>
                  <w:sz w:val="24"/>
                  <w:u w:val="single"/>
                </w:rPr>
                <w:t>Obligations of Merger Subs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68</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4.17</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private_placement_4">
              <w:r>
                <w:rPr>
                  <w:rStyle w:val="InternetLink"/>
                  <w:rFonts w:ascii="Times New Roman" w:hAnsi="Times New Roman"/>
                  <w:color w:val="0000FF"/>
                  <w:sz w:val="24"/>
                  <w:u w:val="single"/>
                </w:rPr>
                <w:t>Private Placement</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68</w:t>
            </w:r>
          </w:p>
        </w:tc>
      </w:tr>
      <w:tr>
        <w:trPr/>
        <w:tc>
          <w:tcPr>
            <w:tcW w:w="8520" w:type="dxa"/>
            <w:gridSpan w:val="3"/>
            <w:tcBorders/>
            <w:tcMar>
              <w:top w:w="0" w:type="dxa"/>
              <w:left w:w="0" w:type="dxa"/>
              <w:bottom w:w="0" w:type="dxa"/>
              <w:right w:w="0" w:type="dxa"/>
            </w:tcMar>
            <w:vAlign w:val="center"/>
          </w:tcPr>
          <w:p>
            <w:pPr>
              <w:pStyle w:val="TableContents"/>
              <w:bidi w:val="0"/>
              <w:spacing w:before="40" w:after="283"/>
              <w:jc w:val="both"/>
              <w:rPr/>
            </w:pPr>
            <w:hyperlink w:anchor="sec_5_conditions_precedent">
              <w:r>
                <w:rPr>
                  <w:rStyle w:val="InternetLink"/>
                  <w:rFonts w:ascii="Times New Roman" w:hAnsi="Times New Roman"/>
                  <w:color w:val="0000FF"/>
                  <w:sz w:val="24"/>
                  <w:u w:val="single"/>
                </w:rPr>
                <w:t>SECTION 5. CONDITIONS PRECEDENT TO OBLIGATIONS OF EACH PARTY</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5.1</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no_restraints_5">
              <w:r>
                <w:rPr>
                  <w:rStyle w:val="InternetLink"/>
                  <w:rFonts w:ascii="Times New Roman" w:hAnsi="Times New Roman"/>
                  <w:color w:val="0000FF"/>
                  <w:sz w:val="24"/>
                  <w:u w:val="single"/>
                </w:rPr>
                <w:t>No Restraints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5.2</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series_d_certificate_5">
              <w:r>
                <w:rPr>
                  <w:rStyle w:val="InternetLink"/>
                  <w:rFonts w:ascii="Times New Roman" w:hAnsi="Times New Roman"/>
                  <w:color w:val="0000FF"/>
                  <w:sz w:val="24"/>
                  <w:u w:val="single"/>
                </w:rPr>
                <w:t>Series D Certificate of Designation</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5.3</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parent_financing_5">
              <w:r>
                <w:rPr>
                  <w:rStyle w:val="InternetLink"/>
                  <w:rFonts w:ascii="Times New Roman" w:hAnsi="Times New Roman"/>
                  <w:color w:val="0000FF"/>
                  <w:sz w:val="24"/>
                  <w:u w:val="single"/>
                </w:rPr>
                <w:t>Parent Financing</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69</w:t>
            </w:r>
          </w:p>
        </w:tc>
      </w:tr>
      <w:tr>
        <w:trPr/>
        <w:tc>
          <w:tcPr>
            <w:tcW w:w="8520" w:type="dxa"/>
            <w:gridSpan w:val="3"/>
            <w:tcBorders/>
            <w:tcMar>
              <w:top w:w="0" w:type="dxa"/>
              <w:left w:w="0" w:type="dxa"/>
              <w:bottom w:w="0" w:type="dxa"/>
              <w:right w:w="0" w:type="dxa"/>
            </w:tcMar>
            <w:vAlign w:val="center"/>
          </w:tcPr>
          <w:p>
            <w:pPr>
              <w:pStyle w:val="TableContents"/>
              <w:bidi w:val="0"/>
              <w:spacing w:before="40" w:after="283"/>
              <w:jc w:val="both"/>
              <w:rPr/>
            </w:pPr>
            <w:hyperlink w:anchor="sec_6_closing_deliveries_of_the_company">
              <w:r>
                <w:rPr>
                  <w:rStyle w:val="InternetLink"/>
                  <w:rFonts w:ascii="Times New Roman" w:hAnsi="Times New Roman"/>
                  <w:color w:val="0000FF"/>
                  <w:sz w:val="24"/>
                  <w:u w:val="single"/>
                </w:rPr>
                <w:t>SECTION 6. CLOSING DELIVERIES OF THE COMPANY</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6.1</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documents_6">
              <w:r>
                <w:rPr>
                  <w:rStyle w:val="InternetLink"/>
                  <w:rFonts w:ascii="Times New Roman" w:hAnsi="Times New Roman"/>
                  <w:color w:val="0000FF"/>
                  <w:sz w:val="24"/>
                  <w:u w:val="single"/>
                </w:rPr>
                <w:t>Documents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69</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6.2</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firpta_certificate_6">
              <w:r>
                <w:rPr>
                  <w:rStyle w:val="InternetLink"/>
                  <w:rFonts w:ascii="Times New Roman" w:hAnsi="Times New Roman"/>
                  <w:color w:val="0000FF"/>
                  <w:sz w:val="24"/>
                  <w:u w:val="single"/>
                </w:rPr>
                <w:t>FIRPTA Certificate</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6.3</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company_lock_up_agreement_6">
              <w:r>
                <w:rPr>
                  <w:rStyle w:val="InternetLink"/>
                  <w:rFonts w:ascii="Times New Roman" w:hAnsi="Times New Roman"/>
                  <w:color w:val="0000FF"/>
                  <w:sz w:val="24"/>
                  <w:u w:val="single"/>
                </w:rPr>
                <w:t>Company Lock-Up Agreements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70</w:t>
            </w:r>
          </w:p>
        </w:tc>
      </w:tr>
      <w:tr>
        <w:trPr/>
        <w:tc>
          <w:tcPr>
            <w:tcW w:w="8520" w:type="dxa"/>
            <w:gridSpan w:val="3"/>
            <w:tcBorders/>
            <w:tcMar>
              <w:top w:w="0" w:type="dxa"/>
              <w:left w:w="0" w:type="dxa"/>
              <w:bottom w:w="0" w:type="dxa"/>
              <w:right w:w="0" w:type="dxa"/>
            </w:tcMar>
            <w:vAlign w:val="center"/>
          </w:tcPr>
          <w:p>
            <w:pPr>
              <w:pStyle w:val="TableContents"/>
              <w:bidi w:val="0"/>
              <w:spacing w:before="40" w:after="283"/>
              <w:jc w:val="both"/>
              <w:rPr/>
            </w:pPr>
            <w:hyperlink w:anchor="sec_7_closing_deliveries_of_parent">
              <w:r>
                <w:rPr>
                  <w:rStyle w:val="InternetLink"/>
                  <w:rFonts w:ascii="Times New Roman" w:hAnsi="Times New Roman"/>
                  <w:color w:val="0000FF"/>
                  <w:sz w:val="24"/>
                  <w:u w:val="single"/>
                </w:rPr>
                <w:t>SECTION 7. CLOSING DELIVERIES OF PARENT</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7.1</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document_7">
              <w:r>
                <w:rPr>
                  <w:rStyle w:val="InternetLink"/>
                  <w:rFonts w:ascii="Times New Roman" w:hAnsi="Times New Roman"/>
                  <w:color w:val="0000FF"/>
                  <w:sz w:val="24"/>
                  <w:u w:val="single"/>
                </w:rPr>
                <w:t>Documents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7.2</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parent_lock_up_agreements_7">
              <w:r>
                <w:rPr>
                  <w:rStyle w:val="InternetLink"/>
                  <w:rFonts w:ascii="Times New Roman" w:hAnsi="Times New Roman"/>
                  <w:color w:val="0000FF"/>
                  <w:sz w:val="24"/>
                  <w:u w:val="single"/>
                </w:rPr>
                <w:t>Parent Lock-Up Agreements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70</w:t>
            </w:r>
          </w:p>
        </w:tc>
      </w:tr>
      <w:tr>
        <w:trPr/>
        <w:tc>
          <w:tcPr>
            <w:tcW w:w="8520" w:type="dxa"/>
            <w:gridSpan w:val="3"/>
            <w:tcBorders/>
            <w:tcMar>
              <w:top w:w="0" w:type="dxa"/>
              <w:left w:w="0" w:type="dxa"/>
              <w:bottom w:w="0" w:type="dxa"/>
              <w:right w:w="0" w:type="dxa"/>
            </w:tcMar>
            <w:vAlign w:val="center"/>
          </w:tcPr>
          <w:p>
            <w:pPr>
              <w:pStyle w:val="TableContents"/>
              <w:bidi w:val="0"/>
              <w:spacing w:before="40" w:after="283"/>
              <w:jc w:val="both"/>
              <w:rPr/>
            </w:pPr>
            <w:hyperlink w:anchor="miscellaneous_provisions">
              <w:r>
                <w:rPr>
                  <w:rStyle w:val="InternetLink"/>
                  <w:rFonts w:ascii="Times New Roman" w:hAnsi="Times New Roman"/>
                  <w:color w:val="0000FF"/>
                  <w:sz w:val="24"/>
                  <w:u w:val="single"/>
                </w:rPr>
                <w:t>SECTION 8. MISCELLANEOUS PROVISIONS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8.1</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non_survival_of_representations">
              <w:r>
                <w:rPr>
                  <w:rStyle w:val="InternetLink"/>
                  <w:rFonts w:ascii="Times New Roman" w:hAnsi="Times New Roman"/>
                  <w:color w:val="0000FF"/>
                  <w:sz w:val="24"/>
                  <w:u w:val="single"/>
                </w:rPr>
                <w:t>Non-Survival of Representations and Warranties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70</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8.2</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amendment">
              <w:r>
                <w:rPr>
                  <w:rStyle w:val="InternetLink"/>
                  <w:rFonts w:ascii="Times New Roman" w:hAnsi="Times New Roman"/>
                  <w:color w:val="0000FF"/>
                  <w:sz w:val="24"/>
                  <w:u w:val="single"/>
                </w:rPr>
                <w:t>Amendment</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71</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8.3</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waiver">
              <w:r>
                <w:rPr>
                  <w:rStyle w:val="InternetLink"/>
                  <w:rFonts w:ascii="Times New Roman" w:hAnsi="Times New Roman"/>
                  <w:color w:val="0000FF"/>
                  <w:sz w:val="24"/>
                  <w:u w:val="single"/>
                </w:rPr>
                <w:t>Waiver</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71</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8.4</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entire_agreement_counterparts">
              <w:r>
                <w:rPr>
                  <w:rStyle w:val="InternetLink"/>
                  <w:rFonts w:ascii="Times New Roman" w:hAnsi="Times New Roman"/>
                  <w:color w:val="0000FF"/>
                  <w:sz w:val="24"/>
                  <w:u w:val="single"/>
                </w:rPr>
                <w:t>Entire Agreement; Counterparts; Exchanges by Electronic Transmission</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71</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8.5</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applicable_law_jurisdiction">
              <w:r>
                <w:rPr>
                  <w:rStyle w:val="InternetLink"/>
                  <w:rFonts w:ascii="Times New Roman" w:hAnsi="Times New Roman"/>
                  <w:color w:val="0000FF"/>
                  <w:sz w:val="24"/>
                  <w:u w:val="single"/>
                </w:rPr>
                <w:t>Applicable Law; Jurisdiction</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71</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8.6</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attorneys_fees">
              <w:r>
                <w:rPr>
                  <w:rStyle w:val="InternetLink"/>
                  <w:rFonts w:ascii="Times New Roman" w:hAnsi="Times New Roman"/>
                  <w:color w:val="0000FF"/>
                  <w:sz w:val="24"/>
                  <w:u w:val="single"/>
                </w:rPr>
                <w:t>Attorneys’ Fees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72</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8.7</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assignability">
              <w:r>
                <w:rPr>
                  <w:rStyle w:val="InternetLink"/>
                  <w:rFonts w:ascii="Times New Roman" w:hAnsi="Times New Roman"/>
                  <w:color w:val="0000FF"/>
                  <w:sz w:val="24"/>
                  <w:u w:val="single"/>
                </w:rPr>
                <w:t>Assignability</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72</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8.8</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notices">
              <w:r>
                <w:rPr>
                  <w:rStyle w:val="InternetLink"/>
                  <w:rFonts w:ascii="Times New Roman" w:hAnsi="Times New Roman"/>
                  <w:color w:val="0000FF"/>
                  <w:sz w:val="24"/>
                  <w:u w:val="single"/>
                </w:rPr>
                <w:t>Notices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72</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8.9</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cooperation">
              <w:r>
                <w:rPr>
                  <w:rStyle w:val="InternetLink"/>
                  <w:rFonts w:ascii="Times New Roman" w:hAnsi="Times New Roman"/>
                  <w:color w:val="0000FF"/>
                  <w:sz w:val="24"/>
                  <w:u w:val="single"/>
                </w:rPr>
                <w:t>Cooperation</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73</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8.10</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severability">
              <w:r>
                <w:rPr>
                  <w:rStyle w:val="InternetLink"/>
                  <w:rFonts w:ascii="Times New Roman" w:hAnsi="Times New Roman"/>
                  <w:color w:val="0000FF"/>
                  <w:sz w:val="24"/>
                  <w:u w:val="single"/>
                </w:rPr>
                <w:t>Severability</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73</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8.11</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other_remedies_specific_performance">
              <w:r>
                <w:rPr>
                  <w:rStyle w:val="InternetLink"/>
                  <w:rFonts w:ascii="Times New Roman" w:hAnsi="Times New Roman"/>
                  <w:color w:val="0000FF"/>
                  <w:sz w:val="24"/>
                  <w:u w:val="single"/>
                </w:rPr>
                <w:t>Other Remedies; Specific Performance</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73</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8.12</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no_third_party_beneficiaries_non_recour">
              <w:r>
                <w:rPr>
                  <w:rStyle w:val="InternetLink"/>
                  <w:rFonts w:ascii="Times New Roman" w:hAnsi="Times New Roman"/>
                  <w:color w:val="0000FF"/>
                  <w:sz w:val="24"/>
                  <w:u w:val="single"/>
                </w:rPr>
                <w:t>No Third-Party Beneficiaries; Non-Recourse</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74</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8.13</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construction">
              <w:r>
                <w:rPr>
                  <w:rStyle w:val="InternetLink"/>
                  <w:rFonts w:ascii="Times New Roman" w:hAnsi="Times New Roman"/>
                  <w:color w:val="0000FF"/>
                  <w:sz w:val="24"/>
                  <w:u w:val="single"/>
                </w:rPr>
                <w:t>Construction.</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74</w:t>
            </w:r>
          </w:p>
        </w:tc>
      </w:tr>
      <w:tr>
        <w:trPr/>
        <w:tc>
          <w:tcPr>
            <w:tcW w:w="180" w:type="dxa"/>
            <w:tcBorders/>
            <w:tcMar>
              <w:top w:w="0" w:type="dxa"/>
              <w:left w:w="0" w:type="dxa"/>
              <w:bottom w:w="0" w:type="dxa"/>
              <w:right w:w="0" w:type="dxa"/>
            </w:tcMar>
            <w:vAlign w:val="center"/>
          </w:tcPr>
          <w:p>
            <w:pPr>
              <w:pStyle w:val="TableContents"/>
              <w:bidi w:val="0"/>
              <w:spacing w:before="40" w:after="283"/>
              <w:jc w:val="both"/>
              <w:rPr/>
            </w:pPr>
            <w:r>
              <w:rPr/>
              <w:t> </w:t>
            </w:r>
          </w:p>
        </w:tc>
        <w:tc>
          <w:tcPr>
            <w:tcW w:w="589"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4"/>
              </w:rPr>
            </w:pPr>
            <w:r>
              <w:rPr>
                <w:rFonts w:ascii="Times New Roman" w:hAnsi="Times New Roman"/>
                <w:color w:val="000000"/>
                <w:sz w:val="24"/>
              </w:rPr>
              <w:t>8.14</w:t>
            </w:r>
          </w:p>
        </w:tc>
        <w:tc>
          <w:tcPr>
            <w:tcW w:w="7751" w:type="dxa"/>
            <w:tcBorders/>
            <w:tcMar>
              <w:top w:w="0" w:type="dxa"/>
              <w:left w:w="0" w:type="dxa"/>
              <w:bottom w:w="0" w:type="dxa"/>
              <w:right w:w="0" w:type="dxa"/>
            </w:tcMar>
            <w:vAlign w:val="center"/>
          </w:tcPr>
          <w:p>
            <w:pPr>
              <w:pStyle w:val="TableContents"/>
              <w:bidi w:val="0"/>
              <w:spacing w:before="40" w:after="283"/>
              <w:jc w:val="both"/>
              <w:rPr/>
            </w:pPr>
            <w:hyperlink w:anchor="expenses">
              <w:r>
                <w:rPr>
                  <w:rStyle w:val="InternetLink"/>
                  <w:rFonts w:ascii="Times New Roman" w:hAnsi="Times New Roman"/>
                  <w:color w:val="0000FF"/>
                  <w:sz w:val="24"/>
                  <w:u w:val="single"/>
                </w:rPr>
                <w:t>Expenses</w:t>
              </w:r>
            </w:hyperlink>
          </w:p>
        </w:tc>
        <w:tc>
          <w:tcPr>
            <w:tcW w:w="391"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4"/>
              </w:rPr>
            </w:pPr>
            <w:r>
              <w:rPr>
                <w:rFonts w:ascii="Times New Roman" w:hAnsi="Times New Roman"/>
                <w:color w:val="000000"/>
                <w:sz w:val="24"/>
              </w:rPr>
              <w:t>75</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Exhibits:</w:t>
      </w:r>
    </w:p>
    <w:p>
      <w:pPr>
        <w:pStyle w:val="TextBody"/>
        <w:bidi w:val="0"/>
        <w:jc w:val="both"/>
        <w:rPr/>
      </w:pPr>
      <w:r>
        <w:rPr/>
        <w:t> </w:t>
      </w:r>
    </w:p>
    <w:tbl>
      <w:tblPr>
        <w:tblW w:w="8507" w:type="dxa"/>
        <w:jc w:val="left"/>
        <w:tblInd w:w="0" w:type="dxa"/>
        <w:tblLayout w:type="fixed"/>
        <w:tblCellMar>
          <w:top w:w="28" w:type="dxa"/>
          <w:left w:w="28" w:type="dxa"/>
          <w:bottom w:w="28" w:type="dxa"/>
          <w:right w:w="28" w:type="dxa"/>
        </w:tblCellMar>
      </w:tblPr>
      <w:tblGrid>
        <w:gridCol w:w="1051"/>
        <w:gridCol w:w="7456"/>
      </w:tblGrid>
      <w:tr>
        <w:trPr/>
        <w:tc>
          <w:tcPr>
            <w:tcW w:w="105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A</w:t>
            </w:r>
          </w:p>
        </w:tc>
        <w:tc>
          <w:tcPr>
            <w:tcW w:w="74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Definitions </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B</w:t>
            </w:r>
          </w:p>
        </w:tc>
        <w:tc>
          <w:tcPr>
            <w:tcW w:w="74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Form of Certificate of Designation of Series D Convertible Preferred Stock</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C</w:t>
            </w:r>
          </w:p>
        </w:tc>
        <w:tc>
          <w:tcPr>
            <w:tcW w:w="74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Form of Lock-Up Agreement </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D</w:t>
            </w:r>
          </w:p>
        </w:tc>
        <w:tc>
          <w:tcPr>
            <w:tcW w:w="74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Form of Parent Support Agreement</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E</w:t>
            </w:r>
          </w:p>
        </w:tc>
        <w:tc>
          <w:tcPr>
            <w:tcW w:w="74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Form of A&amp;R Certificate of Formation of Second Merger Sub</w:t>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F</w:t>
            </w:r>
          </w:p>
        </w:tc>
        <w:tc>
          <w:tcPr>
            <w:tcW w:w="74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Form of A&amp;R Limited Liability Company Agreement of Second Merger Sub</w:t>
            </w:r>
          </w:p>
        </w:tc>
      </w:tr>
    </w:tbl>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AGREEMENT AND PLAN OF MERGER</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THIS AGREEMENT AND PLAN OF MERGER is made and entered into as of October 23, 2026, by and among </w:t>
      </w:r>
      <w:r>
        <w:rPr>
          <w:rFonts w:ascii="Times New Roman" w:hAnsi="Times New Roman"/>
          <w:b/>
          <w:caps/>
          <w:color w:val="000000"/>
          <w:sz w:val="24"/>
        </w:rPr>
        <w:t>Bolt Biotherapeutics, Inc.</w:t>
      </w:r>
      <w:r>
        <w:rPr>
          <w:rFonts w:ascii="Times New Roman" w:hAnsi="Times New Roman"/>
          <w:color w:val="000000"/>
          <w:sz w:val="24"/>
        </w:rPr>
        <w:t>, a Delaware corporation (“</w:t>
      </w:r>
      <w:r>
        <w:rPr>
          <w:rFonts w:ascii="Times New Roman" w:hAnsi="Times New Roman"/>
          <w:b/>
          <w:i/>
          <w:color w:val="000000"/>
          <w:sz w:val="24"/>
        </w:rPr>
        <w:t>Parent</w:t>
      </w:r>
      <w:r>
        <w:rPr>
          <w:rFonts w:ascii="Times New Roman" w:hAnsi="Times New Roman"/>
          <w:color w:val="000000"/>
          <w:sz w:val="24"/>
        </w:rPr>
        <w:t xml:space="preserve">”), </w:t>
      </w:r>
      <w:r>
        <w:rPr>
          <w:rFonts w:ascii="Times New Roman" w:hAnsi="Times New Roman"/>
          <w:b/>
          <w:color w:val="000000"/>
          <w:sz w:val="24"/>
        </w:rPr>
        <w:t>PRINCE MERGER SUB I</w:t>
      </w:r>
      <w:r>
        <w:rPr>
          <w:rFonts w:ascii="Times New Roman" w:hAnsi="Times New Roman"/>
          <w:color w:val="000000"/>
          <w:sz w:val="24"/>
        </w:rPr>
        <w:t xml:space="preserve">, </w:t>
      </w:r>
      <w:r>
        <w:rPr>
          <w:rFonts w:ascii="Times New Roman" w:hAnsi="Times New Roman"/>
          <w:b/>
          <w:color w:val="000000"/>
          <w:sz w:val="24"/>
        </w:rPr>
        <w:t>INC.</w:t>
      </w:r>
      <w:r>
        <w:rPr>
          <w:rFonts w:ascii="Times New Roman" w:hAnsi="Times New Roman"/>
          <w:color w:val="000000"/>
          <w:sz w:val="24"/>
        </w:rPr>
        <w:t>, a Delaware corporation and wholly owned subsidiary of Parent (“</w:t>
      </w:r>
      <w:r>
        <w:rPr>
          <w:rFonts w:ascii="Times New Roman" w:hAnsi="Times New Roman"/>
          <w:b/>
          <w:i/>
          <w:color w:val="000000"/>
          <w:sz w:val="24"/>
        </w:rPr>
        <w:t>First Merger Sub</w:t>
      </w:r>
      <w:r>
        <w:rPr>
          <w:rFonts w:ascii="Times New Roman" w:hAnsi="Times New Roman"/>
          <w:color w:val="000000"/>
          <w:sz w:val="24"/>
        </w:rPr>
        <w:t xml:space="preserve">”), </w:t>
      </w:r>
      <w:r>
        <w:rPr>
          <w:rFonts w:ascii="Times New Roman" w:hAnsi="Times New Roman"/>
          <w:b/>
          <w:color w:val="000000"/>
          <w:sz w:val="24"/>
        </w:rPr>
        <w:t>PRINCE MERGER SUB II,</w:t>
      </w:r>
      <w:r>
        <w:rPr>
          <w:rFonts w:ascii="Times New Roman" w:hAnsi="Times New Roman"/>
          <w:color w:val="000000"/>
          <w:sz w:val="24"/>
        </w:rPr>
        <w:t xml:space="preserve"> </w:t>
      </w:r>
      <w:r>
        <w:rPr>
          <w:rFonts w:ascii="Times New Roman" w:hAnsi="Times New Roman"/>
          <w:b/>
          <w:color w:val="000000"/>
          <w:sz w:val="24"/>
        </w:rPr>
        <w:t>LLC</w:t>
      </w:r>
      <w:r>
        <w:rPr>
          <w:rFonts w:ascii="Times New Roman" w:hAnsi="Times New Roman"/>
          <w:color w:val="000000"/>
          <w:sz w:val="24"/>
        </w:rPr>
        <w:t>, a Delaware limited liability company and wholly owned subsidiary of Parent (“</w:t>
      </w:r>
      <w:r>
        <w:rPr>
          <w:rFonts w:ascii="Times New Roman" w:hAnsi="Times New Roman"/>
          <w:b/>
          <w:i/>
          <w:color w:val="000000"/>
          <w:sz w:val="24"/>
        </w:rPr>
        <w:t>Second Merger Sub</w:t>
      </w:r>
      <w:r>
        <w:rPr>
          <w:rFonts w:ascii="Times New Roman" w:hAnsi="Times New Roman"/>
          <w:color w:val="000000"/>
          <w:sz w:val="24"/>
        </w:rPr>
        <w:t>” and together with First Merger Sub, “</w:t>
      </w:r>
      <w:r>
        <w:rPr>
          <w:rFonts w:ascii="Times New Roman" w:hAnsi="Times New Roman"/>
          <w:b/>
          <w:i/>
          <w:color w:val="000000"/>
          <w:sz w:val="24"/>
        </w:rPr>
        <w:t>Merger Subs</w:t>
      </w:r>
      <w:r>
        <w:rPr>
          <w:rFonts w:ascii="Times New Roman" w:hAnsi="Times New Roman"/>
          <w:color w:val="000000"/>
          <w:sz w:val="24"/>
        </w:rPr>
        <w:t xml:space="preserve">”), and </w:t>
      </w:r>
      <w:r>
        <w:rPr>
          <w:rFonts w:ascii="Times New Roman" w:hAnsi="Times New Roman"/>
          <w:b/>
          <w:color w:val="000000"/>
          <w:sz w:val="24"/>
        </w:rPr>
        <w:t xml:space="preserve">PRANA THERAPIES, INC., </w:t>
      </w:r>
      <w:r>
        <w:rPr>
          <w:rFonts w:ascii="Times New Roman" w:hAnsi="Times New Roman"/>
          <w:color w:val="000000"/>
          <w:sz w:val="24"/>
        </w:rPr>
        <w:t>a Delaware corporation (the “</w:t>
      </w:r>
      <w:r>
        <w:rPr>
          <w:rFonts w:ascii="Times New Roman" w:hAnsi="Times New Roman"/>
          <w:b/>
          <w:i/>
          <w:color w:val="000000"/>
          <w:sz w:val="24"/>
        </w:rPr>
        <w:t>Company</w:t>
      </w:r>
      <w:r>
        <w:rPr>
          <w:rFonts w:ascii="Times New Roman" w:hAnsi="Times New Roman"/>
          <w:color w:val="000000"/>
          <w:sz w:val="24"/>
        </w:rPr>
        <w:t xml:space="preserve">”). Certain capitalized terms used in this Agreement are defined in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Parent and the Company intend to effect a merger of First Merger Sub with and into the Company (the “</w:t>
      </w:r>
      <w:r>
        <w:rPr>
          <w:rFonts w:ascii="Times New Roman" w:hAnsi="Times New Roman"/>
          <w:b/>
          <w:i/>
          <w:color w:val="000000"/>
          <w:sz w:val="24"/>
        </w:rPr>
        <w:t>First Merger</w:t>
      </w:r>
      <w:r>
        <w:rPr>
          <w:rFonts w:ascii="Times New Roman" w:hAnsi="Times New Roman"/>
          <w:color w:val="000000"/>
          <w:sz w:val="24"/>
        </w:rPr>
        <w:t>”) in accordance with this Agreement and the DGCL. Upon consummation of the First Merger, First Merger Sub will cease to exist, and the Company will become a direct wholly owned subsidiary of Parent.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Immediately following the First Merger and as part of the same overall transaction as the First Merger, the Company will merge with and into Second Merger Sub (the “</w:t>
      </w:r>
      <w:r>
        <w:rPr>
          <w:rFonts w:ascii="Times New Roman" w:hAnsi="Times New Roman"/>
          <w:b/>
          <w:i/>
          <w:color w:val="000000"/>
          <w:sz w:val="24"/>
        </w:rPr>
        <w:t>Second Merger</w:t>
      </w:r>
      <w:r>
        <w:rPr>
          <w:rFonts w:ascii="Times New Roman" w:hAnsi="Times New Roman"/>
          <w:color w:val="000000"/>
          <w:sz w:val="24"/>
        </w:rPr>
        <w:t>” and, together with the First Merger, the “</w:t>
      </w:r>
      <w:r>
        <w:rPr>
          <w:rFonts w:ascii="Times New Roman" w:hAnsi="Times New Roman"/>
          <w:b/>
          <w:i/>
          <w:color w:val="000000"/>
          <w:sz w:val="24"/>
        </w:rPr>
        <w:t>Merger</w:t>
      </w:r>
      <w:r>
        <w:rPr>
          <w:rFonts w:ascii="Times New Roman" w:hAnsi="Times New Roman"/>
          <w:color w:val="000000"/>
          <w:sz w:val="24"/>
        </w:rPr>
        <w:t>”), with Second Merger Sub being the surviving entity of the Second Merger.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Immediately following the execution and delivery of this Agreement, but prior to the filing of the First Certificate of Merger, Parent shall file the Series D Certificate of Designation, in substantially the form attached hereto as </w:t>
      </w:r>
      <w:r>
        <w:rPr>
          <w:rFonts w:ascii="Times New Roman" w:hAnsi="Times New Roman"/>
          <w:color w:val="000000"/>
          <w:sz w:val="24"/>
          <w:u w:val="single"/>
        </w:rPr>
        <w:t>Exhibit B</w:t>
      </w:r>
      <w:r>
        <w:rPr>
          <w:rFonts w:ascii="Times New Roman" w:hAnsi="Times New Roman"/>
          <w:color w:val="000000"/>
          <w:sz w:val="24"/>
        </w:rPr>
        <w:t>, with the office of the Secretary of State of the State of Delaware.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U.S. federal income Tax purposes, the Parties intend that (i) the First Merger and the Second Merger, taken together, will constitute an integrated transaction described in Rev. Rul. 2001-46, 2001-2 C.B. 321 that qualifies as a “reorganization” within the meaning of Section 368(a) of the Code and the Treasury Regulations promulgated thereunder, and (ii) this Agreement will constitute, and is hereby adopted as, a plan of reorganization for purposes of Sections 354 and 361 of the Code and within the meaning of Treasury Regulations Sections 1.368-2(g) and 1.368-3(a).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Parent Board has unanimously (i) determined that the Contemplated Transactions are fair to, advisable and in the best interests of Parent and its stockholders, (ii) approved and declared advisable this Agreement and the Contemplated Transactions, including the issuance of the Parent Common Stock Payment Shares and the Parent Preferred Stock Payment Shares to the stockholders of the Company pursuant to the terms of this Agreement, and (iii) determined to recommend, upon the terms and subject to the conditions set forth in this Agreement, that the stockholders of Parent vote to approve the Parent Stockholder Matters at the Parent Stockholders’ Meetings to be convened following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set forth in this Agreement, that the sole stockholder of First Merger Sub votes to adopt this Agreement and thereby approve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sole member of the Second Merger Sub has (i) determined that the Contemplated Transactions are fair to, advisable, and in the best interests of Second Merger Sub and its sole member, (ii) approved and declared advisable this Agreement and the Contemplated Transactions and (iii) determined to recommend, upon the terms and subject to the conditions set forth in this Agreement, that the sole member of Second Merger Sub votes to adopt this Agreement and thereby approve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sz w:val="24"/>
        </w:rPr>
      </w:pPr>
      <w:r>
        <w:rPr>
          <w:rFonts w:ascii="Times New Roman" w:hAnsi="Times New Roman"/>
          <w:color w:val="000000"/>
          <w:sz w:val="24"/>
        </w:rPr>
        <w:t>The Company Board has unanimously (i) determined that the Contemplated Transactions are fair to, advisable and in the best interests of the Company and its stockholders, (ii) approved and declared advisable this Agreement and the Contemplated Transactions and (iii) recommended, upon the terms and subject to the conditions set forth in this Agreement, that the stockholders of the Company vote to approve the Company Stockholder Matters (the “</w:t>
      </w:r>
      <w:r>
        <w:rPr>
          <w:rFonts w:ascii="Times New Roman" w:hAnsi="Times New Roman"/>
          <w:b/>
          <w:i/>
          <w:color w:val="000000"/>
          <w:sz w:val="24"/>
        </w:rPr>
        <w:t>Company Board Approval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Subsequent to the Company Board Approval, but prior to the execution and delivery of this Agreement, the requisite Company stockholders constituting the Required Company Stockholder Vote by written consent and in accordance with the Company’s certificate of incorporation, the Company’s bylaws and the DGCL (i) approved and adopted this Agreement and the Contemplated Transactions, (ii) acknowledged that the approval given thereby is irrevocable and that such stockholder is aware of its rights to demand appraisal for its shares pursuant to Section 262 of the DGCL, a true and correct copy of which was attached thereto, and that such stockholder has received and read a copy of Section 262 of the DGCL and (iii) acknowledged that by its approval of the Merger it is therefore not entitled to appraisal rights with respect to its shares in connection with the Merger and thereby waives any rights to receive payment of the fair value of its capital stock under the DGCL (such matters, the “</w:t>
      </w:r>
      <w:r>
        <w:rPr>
          <w:rFonts w:ascii="Times New Roman" w:hAnsi="Times New Roman"/>
          <w:b/>
          <w:i/>
          <w:color w:val="000000"/>
          <w:sz w:val="24"/>
        </w:rPr>
        <w:t>Company Stockholder Matters</w:t>
      </w:r>
      <w:r>
        <w:rPr>
          <w:rFonts w:ascii="Times New Roman" w:hAnsi="Times New Roman"/>
          <w:color w:val="000000"/>
          <w:sz w:val="24"/>
        </w:rPr>
        <w:t>” and the consent, the “</w:t>
      </w:r>
      <w:r>
        <w:rPr>
          <w:rFonts w:ascii="Times New Roman" w:hAnsi="Times New Roman"/>
          <w:b/>
          <w:i/>
          <w:color w:val="000000"/>
          <w:sz w:val="24"/>
        </w:rPr>
        <w:t>Stockholder Written Consent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following the Closing, the Company will transmit to each Company stockholder who did not execute the Stockholder Written Consent any notices required under Section 228(e) and Section 262 of the DGCL.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Concurrently with the execution and delivery of this Agreement and as a condition and inducement to each of Parent and the Company’s willingness to enter into this Agreement, certain of the directors and officers of Parent listed in </w:t>
      </w:r>
      <w:r>
        <w:rPr>
          <w:rFonts w:ascii="Times New Roman" w:hAnsi="Times New Roman"/>
          <w:color w:val="000000"/>
          <w:sz w:val="24"/>
          <w:u w:val="single"/>
        </w:rPr>
        <w:t>Section A-1</w:t>
      </w:r>
      <w:r>
        <w:rPr>
          <w:rFonts w:ascii="Times New Roman" w:hAnsi="Times New Roman"/>
          <w:color w:val="000000"/>
          <w:sz w:val="24"/>
        </w:rPr>
        <w:t xml:space="preserve"> of the Parent Disclosure Schedule (solely in their capacity as stockholders of Parent) (the “</w:t>
      </w:r>
      <w:r>
        <w:rPr>
          <w:rFonts w:ascii="Times New Roman" w:hAnsi="Times New Roman"/>
          <w:b/>
          <w:i/>
          <w:color w:val="000000"/>
          <w:sz w:val="24"/>
        </w:rPr>
        <w:t>Parent Signatories</w:t>
      </w:r>
      <w:r>
        <w:rPr>
          <w:rFonts w:ascii="Times New Roman" w:hAnsi="Times New Roman"/>
          <w:color w:val="000000"/>
          <w:sz w:val="24"/>
        </w:rPr>
        <w:t xml:space="preserve">”) and the executive officers and directors of the Company listed in </w:t>
      </w:r>
      <w:r>
        <w:rPr>
          <w:rFonts w:ascii="Times New Roman" w:hAnsi="Times New Roman"/>
          <w:color w:val="000000"/>
          <w:sz w:val="24"/>
          <w:u w:val="single"/>
        </w:rPr>
        <w:t>Section A-1</w:t>
      </w:r>
      <w:r>
        <w:rPr>
          <w:rFonts w:ascii="Times New Roman" w:hAnsi="Times New Roman"/>
          <w:color w:val="000000"/>
          <w:sz w:val="24"/>
        </w:rPr>
        <w:t xml:space="preserve"> of the Company Disclosure Schedule (the “</w:t>
      </w:r>
      <w:r>
        <w:rPr>
          <w:rFonts w:ascii="Times New Roman" w:hAnsi="Times New Roman"/>
          <w:b/>
          <w:i/>
          <w:color w:val="000000"/>
          <w:sz w:val="24"/>
        </w:rPr>
        <w:t>Company Signatories</w:t>
      </w:r>
      <w:r>
        <w:rPr>
          <w:rFonts w:ascii="Times New Roman" w:hAnsi="Times New Roman"/>
          <w:color w:val="000000"/>
          <w:sz w:val="24"/>
        </w:rPr>
        <w:t xml:space="preserve">”) (solely in their capacity as stockholders of the Company) are executing lock-up agreements in substantially the form attached as </w:t>
      </w:r>
      <w:r>
        <w:rPr>
          <w:rFonts w:ascii="Times New Roman" w:hAnsi="Times New Roman"/>
          <w:color w:val="000000"/>
          <w:sz w:val="24"/>
          <w:u w:val="single"/>
        </w:rPr>
        <w:t>Exhibit C</w:t>
      </w:r>
      <w:r>
        <w:rPr>
          <w:rFonts w:ascii="Times New Roman" w:hAnsi="Times New Roman"/>
          <w:color w:val="000000"/>
          <w:sz w:val="24"/>
        </w:rPr>
        <w:t xml:space="preserve"> (each, a “</w:t>
      </w:r>
      <w:r>
        <w:rPr>
          <w:rFonts w:ascii="Times New Roman" w:hAnsi="Times New Roman"/>
          <w:b/>
          <w:i/>
          <w:color w:val="000000"/>
          <w:sz w:val="24"/>
        </w:rPr>
        <w:t>Lock</w:t>
        <w:noBreakHyphen/>
        <w:t>Up Agreement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Concurrently with the execution and delivery of this Agreement and as a condition and inducement to the Company’s willingness to enter into this Agreement, all of the officers and directors and certain stockholders of Parent set forth on </w:t>
      </w:r>
      <w:r>
        <w:rPr>
          <w:rFonts w:ascii="Times New Roman" w:hAnsi="Times New Roman"/>
          <w:color w:val="000000"/>
          <w:sz w:val="24"/>
          <w:u w:val="single"/>
        </w:rPr>
        <w:t>Section A-2</w:t>
      </w:r>
      <w:r>
        <w:rPr>
          <w:rFonts w:ascii="Times New Roman" w:hAnsi="Times New Roman"/>
          <w:color w:val="000000"/>
          <w:sz w:val="24"/>
        </w:rPr>
        <w:t xml:space="preserve"> of the Parent Disclosure Schedule (solely in their capacity as stockholders) are executing support agreements in favor of the Company in substantially the form attached hereto as </w:t>
      </w:r>
      <w:r>
        <w:rPr>
          <w:rFonts w:ascii="Times New Roman" w:hAnsi="Times New Roman"/>
          <w:color w:val="000000"/>
          <w:sz w:val="24"/>
          <w:u w:val="single"/>
        </w:rPr>
        <w:t>Exhibit D</w:t>
      </w:r>
      <w:r>
        <w:rPr>
          <w:rFonts w:ascii="Times New Roman" w:hAnsi="Times New Roman"/>
          <w:color w:val="000000"/>
          <w:sz w:val="24"/>
        </w:rPr>
        <w:t xml:space="preserve"> (the “</w:t>
      </w:r>
      <w:r>
        <w:rPr>
          <w:rFonts w:ascii="Times New Roman" w:hAnsi="Times New Roman"/>
          <w:b/>
          <w:i/>
          <w:color w:val="000000"/>
          <w:sz w:val="24"/>
        </w:rPr>
        <w:t>Parent Stockholder</w:t>
      </w:r>
      <w:r>
        <w:rPr>
          <w:rFonts w:ascii="Times New Roman" w:hAnsi="Times New Roman"/>
          <w:color w:val="000000"/>
          <w:sz w:val="24"/>
        </w:rPr>
        <w:t xml:space="preserve"> </w:t>
      </w:r>
      <w:r>
        <w:rPr>
          <w:rFonts w:ascii="Times New Roman" w:hAnsi="Times New Roman"/>
          <w:b/>
          <w:i/>
          <w:color w:val="000000"/>
          <w:sz w:val="24"/>
        </w:rPr>
        <w:t>Support Agreement</w:t>
      </w:r>
      <w:r>
        <w:rPr>
          <w:rFonts w:ascii="Times New Roman" w:hAnsi="Times New Roman"/>
          <w:color w:val="000000"/>
          <w:sz w:val="24"/>
        </w:rPr>
        <w:t xml:space="preserve">”), pursuant to which such Persons have, subject to the terms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and conditions set forth therein, agreed to vote all of their shares of capital stock of Parent in favor of the Parent Stockholder Matters.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sz w:val="24"/>
        </w:rPr>
      </w:pPr>
      <w:r>
        <w:rPr>
          <w:rFonts w:ascii="Times New Roman" w:hAnsi="Times New Roman"/>
          <w:color w:val="000000"/>
          <w:sz w:val="24"/>
        </w:rPr>
        <w:t>Prior to or concurrently with the execution and delivery of this Agreement, in connection with the Parent Financing, certain investors have executed a Securities Purchase Agreement (the “</w:t>
      </w:r>
      <w:r>
        <w:rPr>
          <w:rFonts w:ascii="Times New Roman" w:hAnsi="Times New Roman"/>
          <w:b/>
          <w:i/>
          <w:color w:val="000000"/>
          <w:sz w:val="24"/>
        </w:rPr>
        <w:t>Securities Purchase Agreement</w:t>
      </w:r>
      <w:r>
        <w:rPr>
          <w:rFonts w:ascii="Times New Roman" w:hAnsi="Times New Roman"/>
          <w:color w:val="000000"/>
          <w:sz w:val="24"/>
        </w:rPr>
        <w:t>”) among Parent and the Persons named therein (such investors, the “</w:t>
      </w:r>
      <w:r>
        <w:rPr>
          <w:rFonts w:ascii="Times New Roman" w:hAnsi="Times New Roman"/>
          <w:b/>
          <w:i/>
          <w:color w:val="000000"/>
          <w:sz w:val="24"/>
        </w:rPr>
        <w:t>Investors</w:t>
      </w:r>
      <w:r>
        <w:rPr>
          <w:rFonts w:ascii="Times New Roman" w:hAnsi="Times New Roman"/>
          <w:color w:val="000000"/>
          <w:sz w:val="24"/>
        </w:rPr>
        <w:t>”) (representing an aggregate commitment no less than the Concurrent Investment Amount), pursuant to which each such Investor has agreed to purchase such Investor’s respective portion of the Concurrent Investment Amount as payment for the number of shares of Parent Series D Convertible Preferred Stock and warrants to purchase Parent Series D Convertible Preferred Stock or Parent Common Stock to be issued to such Investor as set forth in the Securities Purchase Agreement and in accordance with the terms contained therein.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intending to be legally bound, agree as follows: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Section 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Description of Transaction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The Merger</w:t>
      </w:r>
      <w:r>
        <w:rPr>
          <w:rFonts w:ascii="Times New Roman" w:hAnsi="Times New Roman"/>
          <w:b/>
          <w:color w:val="000000"/>
          <w:sz w:val="24"/>
        </w:rPr>
        <w:t>.</w:t>
      </w:r>
      <w:r>
        <w:rPr>
          <w:color w:val="000000"/>
        </w:rPr>
        <w:t xml:space="preserve"> </w:t>
      </w:r>
      <w:r>
        <w:rPr>
          <w:rFonts w:ascii="Times New Roman" w:hAnsi="Times New Roman"/>
          <w:color w:val="000000"/>
          <w:sz w:val="24"/>
        </w:rPr>
        <w:t>Upon the terms and subject to the conditions set forth in this Agreement, at the First Effective Time, First Merger Sub shall be merged with and into the Company, and the separate existence of First Merger Sub shall cease. As a result of the First Merger, the Company will continue as the surviving corporation in the First Merger (the “</w:t>
      </w:r>
      <w:r>
        <w:rPr>
          <w:rFonts w:ascii="Times New Roman" w:hAnsi="Times New Roman"/>
          <w:b/>
          <w:i/>
          <w:color w:val="000000"/>
          <w:sz w:val="24"/>
        </w:rPr>
        <w:t>First Step Surviving Corporation</w:t>
      </w:r>
      <w:r>
        <w:rPr>
          <w:color w:val="000000"/>
        </w:rPr>
        <w:t>”</w:t>
      </w:r>
      <w:r>
        <w:rPr>
          <w:rFonts w:ascii="Times New Roman" w:hAnsi="Times New Roman"/>
          <w:color w:val="000000"/>
          <w:sz w:val="24"/>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hAnsi="Times New Roman"/>
          <w:b/>
          <w:i/>
          <w:color w:val="000000"/>
          <w:sz w:val="24"/>
        </w:rPr>
        <w:t>Surviving Entity</w:t>
      </w:r>
      <w:r>
        <w:rPr>
          <w:color w:val="000000"/>
        </w:rPr>
        <w:t>”</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Effects of the Merger</w:t>
      </w:r>
      <w:r>
        <w:rPr>
          <w:rFonts w:ascii="Times New Roman" w:hAnsi="Times New Roman"/>
          <w:b/>
          <w:color w:val="000000"/>
          <w:sz w:val="24"/>
        </w:rPr>
        <w:t>.</w:t>
      </w:r>
      <w:r>
        <w:rPr>
          <w:color w:val="000000"/>
        </w:rPr>
        <w:t xml:space="preserve"> </w:t>
      </w:r>
      <w:r>
        <w:rPr>
          <w:rFonts w:ascii="Times New Roman" w:hAnsi="Times New Roman"/>
          <w:color w:val="000000"/>
          <w:sz w:val="24"/>
        </w:rPr>
        <w:t>At and after the First Effective Time, the First Merger shall have the effects set forth in this Agreement, the First Certificate of Merger and in the applicable provisions of the DGCL. As a result of the First Merger, the First Step Surviving Corporation will become a wholly owned subsidiary of Parent. At and after the Second Effective Time, the Second Merger shall have the effects set forth in this Agreement, the Second Certificate of Merger and in the applicable provisions of the DGCL and the DLLCA.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Closing; First Effective Time; Second Effective Time</w:t>
      </w:r>
      <w:r>
        <w:rPr>
          <w:rFonts w:ascii="Times New Roman" w:hAnsi="Times New Roman"/>
          <w:b/>
          <w:color w:val="000000"/>
          <w:sz w:val="24"/>
        </w:rPr>
        <w:t>.</w:t>
      </w:r>
      <w:r>
        <w:rPr>
          <w:color w:val="000000"/>
        </w:rPr>
        <w:t xml:space="preserve"> </w:t>
      </w:r>
      <w:r>
        <w:rPr>
          <w:rFonts w:ascii="Times New Roman" w:hAnsi="Times New Roman"/>
          <w:color w:val="000000"/>
          <w:sz w:val="24"/>
        </w:rPr>
        <w:t>The consummation of the Merger (the “</w:t>
      </w:r>
      <w:r>
        <w:rPr>
          <w:rFonts w:ascii="Times New Roman" w:hAnsi="Times New Roman"/>
          <w:b/>
          <w:i/>
          <w:color w:val="000000"/>
          <w:sz w:val="24"/>
        </w:rPr>
        <w:t>Closing</w:t>
      </w:r>
      <w:r>
        <w:rPr>
          <w:color w:val="000000"/>
        </w:rPr>
        <w:t>”</w:t>
      </w:r>
      <w:r>
        <w:rPr>
          <w:rFonts w:ascii="Times New Roman" w:hAnsi="Times New Roman"/>
          <w:b/>
          <w:i/>
          <w:color w:val="000000"/>
          <w:sz w:val="24"/>
        </w:rPr>
        <w:t xml:space="preserve">) </w:t>
      </w:r>
      <w:r>
        <w:rPr>
          <w:rFonts w:ascii="Times New Roman" w:hAnsi="Times New Roman"/>
          <w:color w:val="000000"/>
          <w:sz w:val="24"/>
        </w:rPr>
        <w:t>is being consummated remotely via the electronic exchange of documents and signatures substantially simultaneously with the execution and delivery of this Agreement, or at such other time, date and place as Parent and the Company may mutually agree in writing. The date on which the Closing actually takes place is referred to as the “</w:t>
      </w:r>
      <w:r>
        <w:rPr>
          <w:rFonts w:ascii="Times New Roman" w:hAnsi="Times New Roman"/>
          <w:b/>
          <w:i/>
          <w:color w:val="000000"/>
          <w:sz w:val="24"/>
        </w:rPr>
        <w:t>Closing Date.</w:t>
      </w:r>
      <w:r>
        <w:rPr>
          <w:color w:val="000000"/>
        </w:rPr>
        <w:t xml:space="preserve">” </w:t>
      </w:r>
      <w:r>
        <w:rPr>
          <w:rFonts w:ascii="Times New Roman" w:hAnsi="Times New Roman"/>
          <w:color w:val="000000"/>
          <w:sz w:val="24"/>
        </w:rPr>
        <w:t>At the Closing, (a) the Parties shall cause the First Merger to be consummated by executing and filing with the Secretary of State of the State of Delaware a certificate of merger with respect to the First Merger, satisfying the applicable requirements of the DGCL and in form and substance to be agreed upon by the Parties (the “</w:t>
      </w:r>
      <w:r>
        <w:rPr>
          <w:rFonts w:ascii="Times New Roman" w:hAnsi="Times New Roman"/>
          <w:b/>
          <w:i/>
          <w:color w:val="000000"/>
          <w:sz w:val="24"/>
        </w:rPr>
        <w:t>First Certificate of Merger</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 (b)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to be agreed upon by the Parties (the “</w:t>
      </w:r>
      <w:r>
        <w:rPr>
          <w:rFonts w:ascii="Times New Roman" w:hAnsi="Times New Roman"/>
          <w:b/>
          <w:i/>
          <w:color w:val="000000"/>
          <w:sz w:val="24"/>
        </w:rPr>
        <w:t>Second Certificate of Merger</w:t>
      </w:r>
      <w:r>
        <w:rPr>
          <w:color w:val="000000"/>
        </w:rPr>
        <w:t xml:space="preserve">” </w:t>
      </w:r>
      <w:r>
        <w:rPr>
          <w:rFonts w:ascii="Times New Roman" w:hAnsi="Times New Roman"/>
          <w:color w:val="000000"/>
          <w:sz w:val="24"/>
        </w:rPr>
        <w:t>and together with the First Certificate of Merger, the “</w:t>
      </w:r>
      <w:r>
        <w:rPr>
          <w:rFonts w:ascii="Times New Roman" w:hAnsi="Times New Roman"/>
          <w:b/>
          <w:i/>
          <w:color w:val="000000"/>
          <w:sz w:val="24"/>
        </w:rPr>
        <w:t>Certificates of Merger</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The First Merger shall become effective at the time of the filing of such First Certificate of Merger with the Secretary of State of the State of Delaware or at such later time as may be specified in such First Certificate of Merger with the consent of Parent and the Company (the time as of which the First Merger becomes effective being referred to as the “</w:t>
      </w:r>
      <w:r>
        <w:rPr>
          <w:rFonts w:ascii="Times New Roman" w:hAnsi="Times New Roman"/>
          <w:b/>
          <w:i/>
          <w:color w:val="000000"/>
          <w:sz w:val="24"/>
        </w:rPr>
        <w:t>First Effective Time</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hAnsi="Times New Roman"/>
          <w:b/>
          <w:i/>
          <w:color w:val="000000"/>
          <w:sz w:val="24"/>
        </w:rPr>
        <w:t>Second Effective Time</w:t>
      </w:r>
      <w:r>
        <w:rPr>
          <w:color w:val="000000"/>
        </w:rPr>
        <w:t>”</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Series D Certificate of Designation; Certificate of Incorporation and Bylaws; Directors and Officers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the First Effective Time, Parent shall file the Series D Certificate of Designation with the office of the Secretary of State of the State of Delaware.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First Effective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certificate of incorporation of the First Step Surviving Corporation shall be amended and restated as set forth in an exhibit to the First Certificate of Merger, until thereafter amended as provided by the DGCL and such certificate of incorporation;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bylaws of the First Step Surviving Corporation shall be amended and restated in their entirety to read identically to the bylaws of the Company as in effect immediately prior to the First Effective Time, until thereafter amended as provided by the DGCL and such bylaws;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directors and officers of Parent, each to hold office in accordance with the certificate of incorporation and bylaws of Parent, shall be as set forth in </w:t>
      </w:r>
      <w:r>
        <w:rPr>
          <w:rFonts w:ascii="Times New Roman" w:hAnsi="Times New Roman"/>
          <w:color w:val="000000"/>
          <w:sz w:val="24"/>
          <w:u w:val="single"/>
        </w:rPr>
        <w:t>Section 4.10</w:t>
      </w:r>
      <w:r>
        <w:rPr>
          <w:rFonts w:ascii="Times New Roman" w:hAnsi="Times New Roman"/>
          <w:color w:val="000000"/>
          <w:sz w:val="24"/>
        </w:rPr>
        <w:t xml:space="preserve"> of the Parent Disclosure Schedule;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directors and officers of the First Step Surviving Corporation, each to hold office in accordance with the certificate of incorporation and bylaws of the First Step Surviving Corporation, shall be such persons as shall be mutually agreed upon by Parent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Second Effective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 w:hAnsi="Times New Roman"/>
          <w:i/>
          <w:color w:val="000000"/>
          <w:sz w:val="24"/>
        </w:rPr>
        <w:t>provided, however</w:t>
      </w:r>
      <w:r>
        <w:rPr>
          <w:rFonts w:ascii="Times New Roman" w:hAnsi="Times New Roman"/>
          <w:color w:val="000000"/>
          <w:sz w:val="24"/>
        </w:rPr>
        <w:t xml:space="preserve">, that at the Second Effective Time (as part of the Second Certificate of Merger), the certificate of formation shall be amended in substantially the form attached hereto as </w:t>
      </w:r>
      <w:r>
        <w:rPr>
          <w:rFonts w:ascii="Times New Roman" w:hAnsi="Times New Roman"/>
          <w:color w:val="000000"/>
          <w:sz w:val="24"/>
          <w:u w:val="single"/>
        </w:rPr>
        <w:t>Exhibit 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 w:hAnsi="Times New Roman"/>
          <w:i/>
          <w:color w:val="000000"/>
          <w:sz w:val="24"/>
        </w:rPr>
        <w:t>provided, however</w:t>
      </w:r>
      <w:r>
        <w:rPr>
          <w:rFonts w:ascii="Times New Roman" w:hAnsi="Times New Roman"/>
          <w:color w:val="000000"/>
          <w:sz w:val="24"/>
        </w:rPr>
        <w:t xml:space="preserve">, that following the Second Effective Time (but as soon thereafter as practicable), the limited liability company agreement shall be amended in substantially the form attached hereto as </w:t>
      </w:r>
      <w:r>
        <w:rPr>
          <w:rFonts w:ascii="Times New Roman" w:hAnsi="Times New Roman"/>
          <w:color w:val="000000"/>
          <w:sz w:val="24"/>
          <w:u w:val="single"/>
        </w:rPr>
        <w:t>Exhibit F</w:t>
      </w:r>
      <w:r>
        <w:rPr>
          <w:rFonts w:ascii="Times New Roman" w:hAnsi="Times New Roman"/>
          <w:color w:val="000000"/>
          <w:sz w:val="24"/>
        </w:rPr>
        <w:t xml:space="preserve">;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managers and officers of the Surviving Entity, each to hold office in accordance with the certificate of formation and limited liability company agreement of the Surviving Entity, shall be as set forth in </w:t>
      </w:r>
      <w:r>
        <w:rPr>
          <w:rFonts w:ascii="Times New Roman" w:hAnsi="Times New Roman"/>
          <w:color w:val="000000"/>
          <w:sz w:val="24"/>
          <w:u w:val="single"/>
        </w:rPr>
        <w:t>Section 1.4(c)(iii)</w:t>
      </w:r>
      <w:r>
        <w:rPr>
          <w:rFonts w:ascii="Times New Roman" w:hAnsi="Times New Roman"/>
          <w:color w:val="000000"/>
          <w:sz w:val="24"/>
        </w:rPr>
        <w:t xml:space="preserve"> of the Parent Disclosure Schedules.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Merger Consideration; Effect of Merger on Company Capital Stock</w:t>
      </w:r>
      <w:r>
        <w:rPr>
          <w:rFonts w:ascii="Times New Roman" w:hAnsi="Times New Roman"/>
          <w:b/>
          <w:color w:val="000000"/>
          <w:sz w:val="24"/>
        </w:rPr>
        <w:t>.</w:t>
      </w:r>
      <w:r>
        <w:rPr>
          <w:color w:val="000000"/>
        </w:rPr>
        <w:t xml:space="preserve"> </w:t>
      </w:r>
      <w:r>
        <w:rPr>
          <w:rFonts w:ascii="Times New Roman" w:hAnsi="Times New Roman"/>
          <w:color w:val="000000"/>
          <w:sz w:val="24"/>
        </w:rPr>
        <w:t>The aggregate merger consideration (the “</w:t>
      </w:r>
      <w:r>
        <w:rPr>
          <w:rFonts w:ascii="Times New Roman" w:hAnsi="Times New Roman"/>
          <w:b/>
          <w:i/>
          <w:color w:val="000000"/>
          <w:sz w:val="24"/>
        </w:rPr>
        <w:t>Merger Consideration</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 xml:space="preserve">to be paid by Parent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for all of the outstanding shares of Company Capital Stock at the Closing shall be (a) 430,746 shares of Parent Common Stock (“</w:t>
      </w:r>
      <w:r>
        <w:rPr>
          <w:rFonts w:ascii="Times New Roman" w:hAnsi="Times New Roman"/>
          <w:b/>
          <w:i/>
          <w:color w:val="000000"/>
          <w:sz w:val="24"/>
        </w:rPr>
        <w:t>Parent Common Stock Payment Shares</w:t>
      </w:r>
      <w:r>
        <w:rPr>
          <w:rFonts w:ascii="Times New Roman" w:hAnsi="Times New Roman"/>
          <w:color w:val="000000"/>
          <w:sz w:val="24"/>
        </w:rPr>
        <w:t>”) and (b) 16,360.929 shares of Parent Series D Convertible Preferred Stock (the “</w:t>
      </w:r>
      <w:r>
        <w:rPr>
          <w:rFonts w:ascii="Times New Roman" w:hAnsi="Times New Roman"/>
          <w:b/>
          <w:i/>
          <w:color w:val="000000"/>
          <w:sz w:val="24"/>
        </w:rPr>
        <w:t>Parent Preferred Stock Payment Shares</w:t>
      </w:r>
      <w:r>
        <w:rPr>
          <w:rFonts w:ascii="Times New Roman" w:hAnsi="Times New Roman"/>
          <w:color w:val="000000"/>
          <w:sz w:val="24"/>
        </w:rPr>
        <w:t>” and, together with the Parent Common Stock Payment Shares, the “</w:t>
      </w:r>
      <w:r>
        <w:rPr>
          <w:rFonts w:ascii="Times New Roman" w:hAnsi="Times New Roman"/>
          <w:b/>
          <w:i/>
          <w:color w:val="000000"/>
          <w:sz w:val="24"/>
        </w:rPr>
        <w:t>Parent Stock Payment Shares</w:t>
      </w:r>
      <w:r>
        <w:rPr>
          <w:rFonts w:ascii="Times New Roman" w:hAnsi="Times New Roman"/>
          <w:color w:val="000000"/>
          <w:sz w:val="24"/>
        </w:rPr>
        <w:t xml:space="preserve">”) in accordance with </w:t>
      </w:r>
      <w:r>
        <w:rPr>
          <w:rFonts w:ascii="Times New Roman" w:hAnsi="Times New Roman"/>
          <w:color w:val="000000"/>
          <w:sz w:val="24"/>
          <w:u w:val="single"/>
        </w:rPr>
        <w:t>Section 1.6(a)</w:t>
      </w:r>
      <w:r>
        <w:rPr>
          <w:rFonts w:ascii="Times New Roman" w:hAnsi="Times New Roman"/>
          <w:color w:val="000000"/>
          <w:sz w:val="24"/>
        </w:rPr>
        <w:t>, provided that the aggregate number of shares of Parent Common Stock issued in (i) the Contemplated Transactions, and (ii) the Parent Financing, collectively, shall not exceed 19.99% of the total number of shares of Parent Common Stock issued and outstanding as of immediately prior to the First Effective Time (the “</w:t>
      </w:r>
      <w:r>
        <w:rPr>
          <w:rFonts w:ascii="Times New Roman" w:hAnsi="Times New Roman"/>
          <w:b/>
          <w:i/>
          <w:color w:val="000000"/>
          <w:sz w:val="24"/>
        </w:rPr>
        <w:t>Cap</w:t>
      </w:r>
      <w:r>
        <w:rPr>
          <w:rFonts w:ascii="Times New Roman" w:hAnsi="Times New Roman"/>
          <w:color w:val="000000"/>
          <w:sz w:val="24"/>
        </w:rPr>
        <w:t>”). Each Parent Preferred Stock Payment Share shall be convertible into 1,000 shares of Parent Common Stock, subject to and contingent upon the affirmative vote of a majority of the votes cast at the Second Parent Stockholders’ Meeting by the holders of Parent Common Stock present or represented and entitled to vote at a meeting of stockholders of Parent (other than any Person receiving Parent Common Stock or securities convertible into Parent Common Stock in the Contemplated Transactions or the Parent Financing) to approve, for purposes of the applicable Nasdaq Stock Market Rules, the issuance of shares of Parent Common Stock to the holders of Parent Series D Convertible Preferred Stock (including the shares of Parent Series D Convertible Preferred Stock issued in the Parent Financing) upon conversion of any and all shares of Parent Series D Convertible Preferred Stock in accordance with the terms of the Series D Certificate of Designation (the “</w:t>
      </w:r>
      <w:r>
        <w:rPr>
          <w:rFonts w:ascii="Times New Roman" w:hAnsi="Times New Roman"/>
          <w:b/>
          <w:i/>
          <w:color w:val="000000"/>
          <w:sz w:val="24"/>
        </w:rPr>
        <w:t>Preferred Stock Conversion Proposal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Conversion of Shares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First Effective Time, by virtue of the First Merger and without any further action on the part of Parent, Merger Subs, the Company or any stockholder of the Company or Parent: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shares of Company Capital Stock held as treasury stock or held or owned by the Company or any wholly owned Subsidiary of the Company immediately prior to the First Effective Time shall be cancelled and retired and shall cease to exist, and no consideration shall be delivered in exchange therefor;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subject to </w:t>
      </w:r>
      <w:r>
        <w:rPr>
          <w:rFonts w:ascii="Times New Roman" w:hAnsi="Times New Roman"/>
          <w:color w:val="000000"/>
          <w:sz w:val="24"/>
          <w:u w:val="single"/>
        </w:rPr>
        <w:t>Section 1.5</w:t>
      </w:r>
      <w:r>
        <w:rPr>
          <w:rFonts w:ascii="Times New Roman" w:hAnsi="Times New Roman"/>
          <w:color w:val="000000"/>
          <w:sz w:val="24"/>
        </w:rPr>
        <w:t xml:space="preserve"> and </w:t>
      </w:r>
      <w:r>
        <w:rPr>
          <w:rFonts w:ascii="Times New Roman" w:hAnsi="Times New Roman"/>
          <w:color w:val="000000"/>
          <w:sz w:val="24"/>
          <w:u w:val="single"/>
        </w:rPr>
        <w:t>Section 1.6(c)</w:t>
      </w:r>
      <w:r>
        <w:rPr>
          <w:rFonts w:ascii="Times New Roman" w:hAnsi="Times New Roman"/>
          <w:color w:val="000000"/>
          <w:sz w:val="24"/>
        </w:rPr>
        <w:t xml:space="preserve">, each share of Company Capital Stock outstanding immediately prior to the First Effective Time (excluding shares to be cancelled pursuant to </w:t>
      </w:r>
      <w:r>
        <w:rPr>
          <w:rFonts w:ascii="Times New Roman" w:hAnsi="Times New Roman"/>
          <w:color w:val="000000"/>
          <w:sz w:val="24"/>
          <w:u w:val="single"/>
        </w:rPr>
        <w:t>Section 1.6(a)(i)</w:t>
      </w:r>
      <w:r>
        <w:rPr>
          <w:rFonts w:ascii="Times New Roman" w:hAnsi="Times New Roman"/>
          <w:color w:val="000000"/>
          <w:sz w:val="24"/>
        </w:rPr>
        <w:t>) shall be automatically converted solely into the right to receive a number of Parent Stock Payment Shares equal to the Exchange Ratio as set forth on the Allocation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shares of Company Capital Stock outstanding immediately prior to the First Effective Time are subject to any time-based vesting repurchase option or a risk of forfeiture under any applicable restricted stock purchase agreement or other similar agreement with the Company, shares of Parent Common Stock issued in exchange for such shares of Company Capital Stock shall continue to be subject to any such time-based vesting right of repurchase, risk of forfeiture or other such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Fractional shares of Parent Series D Convertible Preferred Stock may be issued to the nearest one-thousandth of a share in connection with the First Merger. Any fractional share of Parent Series D Convertible Preferred Stock that a holder of Company Capital Stock would otherwise be entitled to receive shall be aggregated with all other fractional shares of Parent Series D Convertible Preferred Stock issuable to such holder and any remaining fractional shares will be rounded down to the nearest one-thousandth of a share,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no additional consideration paid for any fractional shares eliminated due to rounding. No fractional shares of Parent Common Stock shall be issued, and no certificates or scrip for any such fractional shares shall be issued and no cash shall be paid for any such fractional shares. Any fractional share of Parent Common Stock that a holder of Company Capital Stock would otherwise be entitled to receive shall be aggregated with all other fractional shares of Parent Common Stock issuable to such holder and any remaining fractional shares will be rounded down to the nearest whole share, with no additional consideration paid for any fractional shares eliminated due to rounding.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First Effective Time, by virtue of the First Merger and without any further action on the part of Parent, Merger Subs, the Company or any stockholder of the Company or Parent, each share of common stock of First Merger Sub issued and outstanding immediately prior to the First Effective Time shall be converted into and exchanged for one share of common stock of the First Step Surviving Corporation. If applicable, each stock certificate of First Merger Sub evidencing ownership of any such shares shall, as of the First Effective Time, evidence ownership of such shares of common stock of the First Step Surviving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If, between the date of this Agreement and the First Effective Time, the outstanding shares of Company Capital Stock or Parent Common Stock or Parent Series D Convertible Preferred Stock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holders of Company Capital Stock and Parent Common Stock and Parent Series D Convertible Preferred Stock, with the same economic effect as contemplated by this Agreement prior to such stock dividend, subdivision, reclassification, recapitalization, split, combination or exchange of shares or other like change; </w:t>
      </w:r>
      <w:r>
        <w:rPr>
          <w:rFonts w:ascii="Times New Roman" w:hAnsi="Times New Roman"/>
          <w:i/>
          <w:color w:val="000000"/>
          <w:sz w:val="24"/>
        </w:rPr>
        <w:t>provided, however</w:t>
      </w:r>
      <w:r>
        <w:rPr>
          <w:rFonts w:ascii="Times New Roman" w:hAnsi="Times New Roman"/>
          <w:color w:val="000000"/>
          <w:sz w:val="24"/>
        </w:rPr>
        <w:t>, that nothing herein will be construed to permit the Company or require Parent to take any action with respect to Company Capital Stock or Parent Common Stock or Parent Series D Convertible Preferred Stock, respectively, that is prohibited or not expressly permitted by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Second Effective Time, by virtue of the Second Merger and without any action on the part of Parent, the First Step Surviving Corporation, Second Merger Sub or their respective stockholders or members (as applicable), (i) each share of the First Step Surviving Corporation issued and outstanding immediately prior to the Second Effective Time shall be cancelled and extinguished without any conversion thereof and no payment or distribution shall be made with respect thereto, and (ii) each membership interest of the Second Merger Sub shall remain issued and outstanding.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Closing of the Company’s Transfer Books</w:t>
      </w:r>
      <w:r>
        <w:rPr>
          <w:rFonts w:ascii="Times New Roman" w:hAnsi="Times New Roman"/>
          <w:b/>
          <w:color w:val="000000"/>
          <w:sz w:val="24"/>
        </w:rPr>
        <w:t>.</w:t>
      </w:r>
      <w:r>
        <w:rPr>
          <w:color w:val="000000"/>
        </w:rPr>
        <w:t xml:space="preserve"> </w:t>
      </w:r>
      <w:r>
        <w:rPr>
          <w:rFonts w:ascii="Times New Roman" w:hAnsi="Times New Roman"/>
          <w:color w:val="000000"/>
          <w:sz w:val="24"/>
        </w:rPr>
        <w:t>(a) At the First Effective Time, all holders of (i) certificates representing shares of Company Capital Stock or (ii) book-entry shares representing shares of Company Capital Stock (“</w:t>
      </w:r>
      <w:r>
        <w:rPr>
          <w:rFonts w:ascii="Times New Roman" w:hAnsi="Times New Roman"/>
          <w:b/>
          <w:i/>
          <w:color w:val="000000"/>
          <w:sz w:val="24"/>
        </w:rPr>
        <w:t>Book-Entry Shares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 xml:space="preserve">in each case, that were outstanding immediately prior to the First Effective Time shall be deemed, from and after the First Effective Time, to only have the right to receive book-entry shares of Parent Common Stock and Parent Series D Convertible Preferred Stock representing the Merger Consideration and, following issuance of book-entry shares representing the Merger Consideration, such certificates representing shares of Company Capital Stock and Book-Entry Shares shall be cancelled; and (b) at the First Effective Time, the stock transfer books of the Company shall be closed with respect to all shares of Company Capital Stock outstanding as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of such time. No further transfer of any such shares of Company Capital Stock shall be made on such stock transfer books after the First Effective Time. If, after the First Effective Time, a valid certificate previously representing any shares of Company Capital Stock outstanding immediately prior to the First Effective Time (a “</w:t>
      </w:r>
      <w:r>
        <w:rPr>
          <w:rFonts w:ascii="Times New Roman" w:hAnsi="Times New Roman"/>
          <w:b/>
          <w:i/>
          <w:color w:val="000000"/>
          <w:sz w:val="24"/>
        </w:rPr>
        <w:t>Company Stock Certificate</w:t>
      </w:r>
      <w:r>
        <w:rPr>
          <w:rFonts w:ascii="Times New Roman" w:hAnsi="Times New Roman"/>
          <w:color w:val="000000"/>
          <w:sz w:val="24"/>
        </w:rPr>
        <w:t xml:space="preserve">”) is presented to the Exchange Agent or to the Surviving Entity, such Company Stock Certificate shall be cancelled and shall be exchanged as provided in </w:t>
      </w:r>
      <w:r>
        <w:rPr>
          <w:rFonts w:ascii="Times New Roman" w:hAnsi="Times New Roman"/>
          <w:color w:val="000000"/>
          <w:sz w:val="24"/>
          <w:u w:val="single"/>
        </w:rPr>
        <w:t>Sections 1.6</w:t>
      </w:r>
      <w:r>
        <w:rPr>
          <w:rFonts w:ascii="Times New Roman" w:hAnsi="Times New Roman"/>
          <w:color w:val="000000"/>
          <w:sz w:val="24"/>
        </w:rPr>
        <w:t xml:space="preserve"> and </w:t>
      </w:r>
      <w:r>
        <w:rPr>
          <w:rFonts w:ascii="Times New Roman" w:hAnsi="Times New Roman"/>
          <w:color w:val="000000"/>
          <w:sz w:val="24"/>
          <w:u w:val="single"/>
        </w:rPr>
        <w:t>1.8</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Exchange of Shares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Equiniti Trust Company LLC shall act as exchange agent in the Merger (the “</w:t>
      </w:r>
      <w:r>
        <w:rPr>
          <w:rFonts w:ascii="Times New Roman" w:hAnsi="Times New Roman"/>
          <w:b/>
          <w:i/>
          <w:color w:val="000000"/>
          <w:sz w:val="24"/>
        </w:rPr>
        <w:t>Exchange Agent</w:t>
      </w:r>
      <w:r>
        <w:rPr>
          <w:rFonts w:ascii="Times New Roman" w:hAnsi="Times New Roman"/>
          <w:color w:val="000000"/>
          <w:sz w:val="24"/>
        </w:rPr>
        <w:t xml:space="preserve">”). Immediately prior to the First Effective Time, Parent shall deposit with the Exchange Agent evidence of book-entry shares representing the Parent Common Stock and Parent Series D Convertible Preferred Stock issuable pursuant to </w:t>
      </w:r>
      <w:r>
        <w:rPr>
          <w:rFonts w:ascii="Times New Roman" w:hAnsi="Times New Roman"/>
          <w:color w:val="000000"/>
          <w:sz w:val="24"/>
          <w:u w:val="single"/>
        </w:rPr>
        <w:t>Section 1.6(a)</w:t>
      </w:r>
      <w:r>
        <w:rPr>
          <w:rFonts w:ascii="Times New Roman" w:hAnsi="Times New Roman"/>
          <w:color w:val="000000"/>
          <w:sz w:val="24"/>
        </w:rPr>
        <w:t>. The Parent Common Stock and Parent Series D Convertible Preferred Stock so deposited with the Exchange Agent, together with any dividends or distributions received by the Exchange Agent with respect to such shares, are referred to collectively as the “</w:t>
      </w:r>
      <w:r>
        <w:rPr>
          <w:rFonts w:ascii="Times New Roman" w:hAnsi="Times New Roman"/>
          <w:b/>
          <w:i/>
          <w:color w:val="000000"/>
          <w:sz w:val="24"/>
        </w:rPr>
        <w:t>Exchange Fund</w:t>
      </w:r>
      <w:r>
        <w:rPr>
          <w:rFonts w:ascii="Times New Roman" w:hAnsi="Times New Roman"/>
          <w:i/>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Immediately following the First Effective Time, the Exchange Agent shall issue book-entry shares representing the Merger Consideration (in a number of whole shares of Parent Common Stock and Parent Series D Convertible Preferred Stock) that each holder of Company Capital Stock has the right to receive pursuant to the provisions of </w:t>
      </w:r>
      <w:r>
        <w:rPr>
          <w:rFonts w:ascii="Times New Roman" w:hAnsi="Times New Roman"/>
          <w:color w:val="000000"/>
          <w:sz w:val="24"/>
          <w:u w:val="single"/>
        </w:rPr>
        <w:t>Section 1.6(a)</w:t>
      </w:r>
      <w:r>
        <w:rPr>
          <w:rFonts w:ascii="Times New Roman" w:hAnsi="Times New Roman"/>
          <w:color w:val="000000"/>
          <w:sz w:val="24"/>
        </w:rPr>
        <w:t xml:space="preserve"> and each Company Stock Certificate or Book-Entry Share formerly held by each such holder shall be deemed, from and after the First Effective Time, to represent only the right to receive book-entry shares of Parent Common Stock and Parent Series D Convertible Preferred Stock representing the Merger Consideration and, following issuance of book-entry shares representing the Merger Consideration, shall be cancelled. The Merger Consideration and any dividends or other distributions as are payable pursuant to </w:t>
      </w:r>
      <w:r>
        <w:rPr>
          <w:rFonts w:ascii="Times New Roman" w:hAnsi="Times New Roman"/>
          <w:color w:val="000000"/>
          <w:sz w:val="24"/>
          <w:u w:val="single"/>
        </w:rPr>
        <w:t>Section 1.6(e)</w:t>
      </w:r>
      <w:r>
        <w:rPr>
          <w:rFonts w:ascii="Times New Roman" w:hAnsi="Times New Roman"/>
          <w:color w:val="000000"/>
          <w:sz w:val="24"/>
        </w:rPr>
        <w:t xml:space="preserve"> shall be deemed to have been in full satisfaction of all rights pertaining to Company Capital Stock formerly represented by such Company Stock Certificates or Book-Entry Shares.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compliance with applicable escheat Laws, any portion of the Exchange Fund that remains unclaimed by holders of shares of Company Capital Stock as of the date that is one year after the Closing Date shall be delivered to Parent upon demand, and any holders of Company Stock Certificates or Book-Entry Shares who have not theretofore surrendered their Company Stock Certificates or transferred their Book-Entry Shares shall thereafter look only to Parent as general creditors for satisfaction of their claims for Parent Common Stock and Parent Series D Convertible Preferred Stock and any dividends or distributions with respect to shares of Parent Common Stock and Parent Series D Convertible Preferred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Party shall be liable to any former holder of any shares of Company Capital Stock or to any other Person with respect to any shares of Parent Common Stock or Parent Series D Convertible Preferred Stock (or dividends or distributions with respect thereto) delivered to any public official pursuant to any applicable abandoned property Law, escheat Law or similar Law.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60" w:before="0" w:after="240"/>
        <w:jc w:val="both"/>
        <w:rPr/>
      </w:pPr>
      <w:r>
        <w:rPr>
          <w:rFonts w:ascii="Times New Roman" w:hAnsi="Times New Roman"/>
          <w:b/>
          <w:color w:val="000000"/>
          <w:sz w:val="24"/>
          <w:u w:val="single"/>
        </w:rPr>
        <w:t>Company Options</w:t>
      </w:r>
      <w:r>
        <w:rPr>
          <w:rFonts w:ascii="Times New Roman" w:hAnsi="Times New Roman"/>
          <w:color w:val="000000"/>
          <w:sz w:val="24"/>
        </w:rPr>
        <w:t>.</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At the First Effective Time, each Company Option that is outstanding and unexercised immediately prior to the First Effective Time under the Company Plan, whether or not vested, shall be assumed and converted into and become an option to purchase Parent Common Stock (each, a “</w:t>
      </w:r>
      <w:r>
        <w:rPr>
          <w:rFonts w:ascii="Times New Roman" w:hAnsi="Times New Roman"/>
          <w:b/>
          <w:i/>
          <w:color w:val="000000"/>
          <w:sz w:val="24"/>
        </w:rPr>
        <w:t>Parent Assumed Option</w:t>
      </w:r>
      <w:r>
        <w:rPr>
          <w:rFonts w:ascii="Times New Roman" w:hAnsi="Times New Roman"/>
          <w:color w:val="000000"/>
          <w:sz w:val="24"/>
        </w:rPr>
        <w:t xml:space="preserve">”). Accordingly, from and after the First Effective Time: (i) each Parent Assumed Option may be exercised solely for shares of Parent Common Stock; (ii) the number of shares of Parent Common Stock subject to each Parent Assumed Option shall be determined by multiplying (A) the number of shares of Company Common Stock that were subject to the corresponding Company Option, as in effect immediately prior to the First Effective Time, by (B) the Exchange Ratio, and rounding the resulting number down to the nearest whole number of shares of Parent Common Stock; (iii) the per-share exercise price for the Parent Common Stock issuable upon exercise of each Parent Assumed Option shall be determined by dividing (A) the per-share exercise price of Company Common Stock subject to the corresponding Company Option, as in effect immediately prior to the First Effective Time, by (B) the Exchange Ratio and rounding the resulting exercise price up to the nearest whole cent; and (iv) the other terms of each Parent Assumed Option (including, but not limited to, the expiration date, restrictions on exercisability, and vesting schedule) shall otherwise remain unchanged; </w:t>
      </w:r>
      <w:r>
        <w:rPr>
          <w:rFonts w:ascii="Times New Roman" w:hAnsi="Times New Roman"/>
          <w:i/>
          <w:color w:val="000000"/>
          <w:sz w:val="24"/>
        </w:rPr>
        <w:t xml:space="preserve">provided, </w:t>
      </w:r>
      <w:r>
        <w:rPr>
          <w:rFonts w:ascii="Times New Roman" w:hAnsi="Times New Roman"/>
          <w:color w:val="000000"/>
          <w:sz w:val="24"/>
        </w:rPr>
        <w:t xml:space="preserve">that, (I) in the case of any Parent Assumed Option that was converted from a Company Option to which Section 421 of the Code applies as of the First Effective Time by reason of its qualification under Section 422 of the Code, the per-share exercise price, the number of shares of Parent Common Stock subject to such Parent Assumed Option and the terms and conditions of such Parent Assumed Option shall be determined in a manner consistent with the requirements of Section 424(a) of the Code; and (II) the exercise price, the number of shares of Parent Common Stock subject to, and the terms and conditions of exercise of each Parent Assumed Option shall also be determined in a manner consistent with the requirements of Section 409A of the Code; </w:t>
      </w:r>
      <w:r>
        <w:rPr>
          <w:rFonts w:ascii="Times New Roman" w:hAnsi="Times New Roman"/>
          <w:i/>
          <w:color w:val="000000"/>
          <w:sz w:val="24"/>
        </w:rPr>
        <w:t>provided, further</w:t>
      </w:r>
      <w:r>
        <w:rPr>
          <w:rFonts w:ascii="Times New Roman" w:hAnsi="Times New Roman"/>
          <w:color w:val="000000"/>
          <w:sz w:val="24"/>
        </w:rPr>
        <w:t xml:space="preserve">, that: (x) no Parent Assumed Option shall be exercisable until the date on which the Additional Parent Stockholder Matters are approved; (y) the terms of the Parent Assumed Options shall be further amended as may be necessary to reflect such assumption and conversion of the Company Options into Parent Assumed Options (such as by making any change in control or similar definition relate to Parent instead of the Company and having any provision that provides for the adjustment of Company Options upon the occurrence of certain corporate events of the Company relate to similar corporate events of Parent instead); and (z) the Parent Board or a committee thereof shall succeed to the authority and responsibility of the Company Board or any committee thereof with respect to each Parent Assumed Option.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Parent shall file with the SEC, promptly after the First Effective Time (and in any event, not later than the date on which Parent files or submits its first periodic report under the Exchange Act after the stockholder approvals of the Parent Stockholder Matters), a registration statement on Form S-8 (or any successor form), if available for use by Parent, relating to the shares of Parent Common Stock issuable with respect to the Parent Assumed Options in accordance with </w:t>
      </w:r>
      <w:r>
        <w:rPr>
          <w:rFonts w:ascii="Times New Roman" w:hAnsi="Times New Roman"/>
          <w:color w:val="000000"/>
          <w:sz w:val="24"/>
          <w:u w:val="single"/>
        </w:rPr>
        <w:t>Section 1.9</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Appraisal Rights</w:t>
      </w:r>
      <w:r>
        <w:rPr>
          <w:rFonts w:ascii="Times New Roman" w:hAnsi="Times New Roman"/>
          <w:b/>
          <w:color w:val="000000"/>
          <w:sz w:val="24"/>
        </w:rPr>
        <w:t>.</w:t>
      </w:r>
      <w:r>
        <w:rPr>
          <w:color w:val="FF0000"/>
        </w:rPr>
        <w:t xml:space="preserve"> </w:t>
      </w:r>
      <w:r>
        <w:rPr>
          <w:rFonts w:ascii="Times New Roman" w:hAnsi="Times New Roman"/>
          <w:color w:val="000000"/>
          <w:sz w:val="24"/>
        </w:rPr>
        <w:t>Notwithstanding any provision of this Agreement to the contrary, shares of Company Capital Stock that are outstanding immediately prior to the First Effective Time and which are held by stockholders who have exercised and perfected appraisal rights for such shares of Company Capital Stock in accordance with the DGCL (collectively, the “</w:t>
      </w:r>
      <w:r>
        <w:rPr>
          <w:rFonts w:ascii="Times New Roman" w:hAnsi="Times New Roman"/>
          <w:b/>
          <w:i/>
          <w:color w:val="000000"/>
          <w:sz w:val="24"/>
        </w:rPr>
        <w:t>Dissenting Shares</w:t>
      </w:r>
      <w:r>
        <w:rPr>
          <w:color w:val="000000"/>
        </w:rPr>
        <w:t>”</w:t>
      </w:r>
      <w:r>
        <w:rPr>
          <w:rFonts w:ascii="Times New Roman" w:hAnsi="Times New Roman"/>
          <w:color w:val="000000"/>
          <w:sz w:val="24"/>
        </w:rPr>
        <w:t xml:space="preserve">) shall not be converted into or represent the right to receive the Merger Consideration described in </w:t>
      </w:r>
      <w:r>
        <w:rPr>
          <w:rFonts w:ascii="Times New Roman" w:hAnsi="Times New Roman"/>
          <w:color w:val="000000"/>
          <w:sz w:val="24"/>
          <w:u w:val="single"/>
        </w:rPr>
        <w:t>Section 1.5</w:t>
      </w:r>
      <w:r>
        <w:rPr>
          <w:color w:val="000000"/>
        </w:rPr>
        <w:t xml:space="preserve"> </w:t>
      </w:r>
      <w:r>
        <w:rPr>
          <w:rFonts w:ascii="Times New Roman" w:hAnsi="Times New Roman"/>
          <w:color w:val="000000"/>
          <w:sz w:val="24"/>
        </w:rPr>
        <w:t>attributable to such Dissenting</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Shares. Such stockholders shall be entitled to receive payment of the appraised value of such</w:t>
      </w:r>
      <w:r>
        <w:rPr>
          <w:rFonts w:ascii="Times New Roman" w:hAnsi="Times New Roman"/>
          <w:color w:val="000000"/>
          <w:sz w:val="20"/>
        </w:rPr>
        <w:t xml:space="preserve"> </w:t>
      </w:r>
      <w:r>
        <w:rPr>
          <w:rFonts w:ascii="Times New Roman" w:hAnsi="Times New Roman"/>
          <w:color w:val="000000"/>
          <w:sz w:val="24"/>
        </w:rPr>
        <w:t>shares of</w:t>
      </w:r>
      <w:r>
        <w:rPr>
          <w:rFonts w:ascii="Times New Roman" w:hAnsi="Times New Roman"/>
          <w:color w:val="000000"/>
          <w:sz w:val="20"/>
        </w:rPr>
        <w:t xml:space="preserve"> </w:t>
      </w:r>
      <w:r>
        <w:rPr>
          <w:rFonts w:ascii="Times New Roman" w:hAnsi="Times New Roman"/>
          <w:color w:val="000000"/>
          <w:sz w:val="24"/>
        </w:rPr>
        <w:t xml:space="preserve">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w:t>
      </w:r>
      <w:r>
        <w:rPr>
          <w:rFonts w:ascii="Times New Roman" w:hAnsi="Times New Roman"/>
          <w:color w:val="000000"/>
          <w:sz w:val="24"/>
          <w:u w:val="single"/>
        </w:rPr>
        <w:t>Sections 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1.8</w:t>
      </w:r>
      <w:r>
        <w:rPr>
          <w:rFonts w:ascii="Times New Roman" w:hAnsi="Times New Roman"/>
          <w:color w:val="000000"/>
          <w:sz w:val="24"/>
        </w:rPr>
        <w:t xml:space="preserve">. 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and the Company shall have the right to direct all negotiations and proceedings with respect to such demands; </w:t>
      </w:r>
      <w:r>
        <w:rPr>
          <w:rFonts w:ascii="Times New Roman" w:hAnsi="Times New Roman"/>
          <w:i/>
          <w:color w:val="000000"/>
          <w:sz w:val="24"/>
        </w:rPr>
        <w:t xml:space="preserve">provided </w:t>
      </w:r>
      <w:r>
        <w:rPr>
          <w:rFonts w:ascii="Times New Roman" w:hAnsi="Times New Roman"/>
          <w:color w:val="000000"/>
          <w:sz w:val="24"/>
        </w:rPr>
        <w:t>that Parent shall have the right to participate in such negotiations and proceedings. Neither Parent nor the Company shall, except with the other party’s prior written consent (which shall not be unreasonably withheld), voluntarily make any payment with respect to, or settle or offer to settle, any such demands, or approve any withdrawal of any such demands or agree to do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Calculation of Parent Net Cash</w:t>
      </w:r>
      <w:r>
        <w:rPr>
          <w:rFonts w:ascii="Times New Roman" w:hAnsi="Times New Roman"/>
          <w:b/>
          <w:color w:val="000000"/>
          <w:sz w:val="24"/>
        </w:rPr>
        <w:t>.</w:t>
      </w:r>
      <w:r>
        <w:rPr>
          <w:color w:val="000000"/>
        </w:rPr>
        <w:t xml:space="preserve"> </w:t>
      </w:r>
      <w:r>
        <w:rPr>
          <w:rFonts w:ascii="Times New Roman" w:hAnsi="Times New Roman"/>
          <w:color w:val="000000"/>
          <w:sz w:val="24"/>
        </w:rPr>
        <w:t>Prior to the date of this Agreement, Parent delivered to the Company a schedule (the “</w:t>
      </w:r>
      <w:r>
        <w:rPr>
          <w:rFonts w:ascii="Times New Roman" w:hAnsi="Times New Roman"/>
          <w:b/>
          <w:i/>
          <w:color w:val="000000"/>
          <w:sz w:val="24"/>
        </w:rPr>
        <w:t>Parent Net Cash Schedule</w:t>
      </w:r>
      <w:r>
        <w:rPr>
          <w:color w:val="000000"/>
        </w:rPr>
        <w:t>”</w:t>
      </w:r>
      <w:r>
        <w:rPr>
          <w:rFonts w:ascii="Times New Roman" w:hAnsi="Times New Roman"/>
          <w:color w:val="000000"/>
          <w:sz w:val="24"/>
        </w:rPr>
        <w:t>) setting forth, in reasonable detail, Parent’s good faith estimated calculation of Parent Net Cash as of 11:59 p.m. on the last Business Day prior to the Closing Date prepared and certified by an authorized officer of Parent. The Company has accepted the Parent Net Cash Schedule as final notwithstanding any variations between the definition thereof and the calculations or components included in the Parent Net Cash Schedule and each of the Company and Parent acknowledge on behalf of their respective equityholders that no further adjustments to the Merger Consideration shall be made. In the event of any conflict between the definition of Parent Net Cash and the Parent Net Cash Schedule, the Parent Net Cash Schedule shall control.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Further Action</w:t>
      </w:r>
      <w:r>
        <w:rPr>
          <w:rFonts w:ascii="Times New Roman" w:hAnsi="Times New Roman"/>
          <w:b/>
          <w:color w:val="000000"/>
          <w:sz w:val="24"/>
        </w:rPr>
        <w:t>.</w:t>
      </w:r>
      <w:r>
        <w:rPr>
          <w:color w:val="000000"/>
        </w:rPr>
        <w:t xml:space="preserve"> </w:t>
      </w:r>
      <w:r>
        <w:rPr>
          <w:rFonts w:ascii="Times New Roman" w:hAnsi="Times New Roman"/>
          <w:color w:val="000000"/>
          <w:sz w:val="24"/>
        </w:rPr>
        <w:t>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reasonable best efforts (in the name of the Company, in the name of Merger Subs, in the name of the Surviving Entity and otherwise) to take such 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Withholding</w:t>
      </w:r>
      <w:r>
        <w:rPr>
          <w:rFonts w:ascii="Times New Roman" w:hAnsi="Times New Roman"/>
          <w:b/>
          <w:color w:val="000000"/>
          <w:sz w:val="24"/>
        </w:rPr>
        <w:t>.</w:t>
      </w:r>
      <w:r>
        <w:rPr>
          <w:color w:val="000000"/>
        </w:rPr>
        <w:t xml:space="preserve"> </w:t>
      </w:r>
      <w:r>
        <w:rPr>
          <w:rFonts w:ascii="Times New Roman" w:hAnsi="Times New Roman"/>
          <w:color w:val="000000"/>
          <w:sz w:val="24"/>
        </w:rPr>
        <w:t>The Parties and the Exchange Agent (each, a “</w:t>
      </w:r>
      <w:r>
        <w:rPr>
          <w:rFonts w:ascii="Times New Roman" w:hAnsi="Times New Roman"/>
          <w:b/>
          <w:i/>
          <w:color w:val="000000"/>
          <w:sz w:val="24"/>
        </w:rPr>
        <w:t>Withholding Agent</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 xml:space="preserve">shall be entitled to deduct and withhold from the consideration otherwise payable pursuant to this Agreement to any holder of Company Capital Stock or any other Person such amounts as such Withholding Agent is required to deduct and withhold under the Code or any other Law with respect to the making of such payment;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a Withholding Agent determines that any payment to any stockholder of the Company hereunder is subject to deduction and/or withholding, then, except with respect to compensatory payments, or as a result of a failure to deliver the certificate described in </w:t>
      </w:r>
      <w:r>
        <w:rPr>
          <w:rFonts w:ascii="Times New Roman" w:hAnsi="Times New Roman"/>
          <w:color w:val="000000"/>
          <w:sz w:val="24"/>
          <w:u w:val="single"/>
        </w:rPr>
        <w:t>Section 6.2</w:t>
      </w:r>
      <w:r>
        <w:rPr>
          <w:rFonts w:ascii="Times New Roman" w:hAnsi="Times New Roman"/>
          <w:color w:val="000000"/>
          <w:sz w:val="24"/>
        </w:rPr>
        <w:t xml:space="preserve">, such Withholding Agent shall (i) provide notice to such stockholder as soon as reasonably practicable after such determination (and no later than three (3) Business Days prior to undertaking such deduction and/or withholding), and (ii) use commercially reasonable efforts to cooperate with such stockholder prior to the Closing to reduce or eliminate any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deduction and/or withholding. To the extent that amounts are so withheld and properly paid over to the appropriate Governmental Body, such amounts shall be treated for all purposes of this Agreement as having been paid to the Person in respect of whom such deduction and/or withholding was made.</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Section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 xml:space="preserve">Representations and Warranties of the Company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4"/>
        </w:rPr>
      </w:pPr>
      <w:r>
        <w:rPr>
          <w:rFonts w:ascii="Times New Roman" w:hAnsi="Times New Roman"/>
          <w:color w:val="000000"/>
          <w:sz w:val="24"/>
        </w:rPr>
        <w:t xml:space="preserve">Subject to </w:t>
      </w:r>
      <w:r>
        <w:rPr>
          <w:rFonts w:ascii="Times New Roman" w:hAnsi="Times New Roman"/>
          <w:color w:val="000000"/>
          <w:sz w:val="24"/>
          <w:u w:val="single"/>
        </w:rPr>
        <w:t>Section 8.13(h),</w:t>
      </w:r>
      <w:r>
        <w:rPr>
          <w:rFonts w:ascii="Times New Roman" w:hAnsi="Times New Roman"/>
          <w:color w:val="000000"/>
          <w:sz w:val="24"/>
        </w:rPr>
        <w:t xml:space="preserve"> except as set forth in the disclosure schedule delivered by the Company to Parent (the “</w:t>
      </w:r>
      <w:r>
        <w:rPr>
          <w:rFonts w:ascii="Times New Roman" w:hAnsi="Times New Roman"/>
          <w:b/>
          <w:i/>
          <w:color w:val="000000"/>
          <w:sz w:val="24"/>
        </w:rPr>
        <w:t>Company Disclosure Schedule</w:t>
      </w:r>
      <w:r>
        <w:rPr>
          <w:rFonts w:ascii="Times New Roman" w:hAnsi="Times New Roman"/>
          <w:color w:val="000000"/>
          <w:sz w:val="24"/>
        </w:rPr>
        <w:t xml:space="preserve">”), the Company represents and warrants to Parent and Merger Subs as of the date hereof (or in the case of representations and warranties that speak of a specified date, as of such specified date)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Due Organization; Subsidiaries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is a corporation duly incorporated, validly existing and in good standing under the Laws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Company has no Subsidiaries, except for the Subsidiary identified in </w:t>
      </w:r>
      <w:r>
        <w:rPr>
          <w:rFonts w:ascii="Times New Roman" w:hAnsi="Times New Roman"/>
          <w:color w:val="000000"/>
          <w:sz w:val="24"/>
          <w:u w:val="single"/>
        </w:rPr>
        <w:t>Section 2.1(c)</w:t>
      </w:r>
      <w:r>
        <w:rPr>
          <w:rFonts w:ascii="Times New Roman" w:hAnsi="Times New Roman"/>
          <w:color w:val="000000"/>
          <w:sz w:val="24"/>
        </w:rPr>
        <w:t xml:space="preserve"> of the Company Disclosure Schedule (the “</w:t>
      </w:r>
      <w:r>
        <w:rPr>
          <w:rFonts w:ascii="Times New Roman" w:hAnsi="Times New Roman"/>
          <w:b/>
          <w:i/>
          <w:color w:val="000000"/>
          <w:sz w:val="24"/>
        </w:rPr>
        <w:t>Company Subsidiary</w:t>
      </w:r>
      <w:r>
        <w:rPr>
          <w:rFonts w:ascii="Times New Roman" w:hAnsi="Times New Roman"/>
          <w:color w:val="000000"/>
          <w:sz w:val="24"/>
        </w:rPr>
        <w:t xml:space="preserve">”); and neither the Company nor the Company Subsidiary owns any capital stock of, or any equity, ownership or profit-sharing interest of any nature in, or controls directly or indirectly, any other Person other than the Persons identified in </w:t>
      </w:r>
      <w:r>
        <w:rPr>
          <w:rFonts w:ascii="Times New Roman" w:hAnsi="Times New Roman"/>
          <w:color w:val="000000"/>
          <w:sz w:val="24"/>
          <w:u w:val="single"/>
        </w:rPr>
        <w:t>Section 2.1(c)</w:t>
      </w:r>
      <w:r>
        <w:rPr>
          <w:rFonts w:ascii="Times New Roman" w:hAnsi="Times New Roman"/>
          <w:color w:val="000000"/>
          <w:sz w:val="24"/>
        </w:rPr>
        <w:t xml:space="preserve"> of the Company Disclosure Schedule. The Company Subsidiary is a company duly incorporated and validly registered under the Corporations Act 2001 (Cth),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the Company nor the Company Subsidiary is or has otherwise been, directly or indirectly, a party to, member of or participant in any partnership, joint venture or similar business Entity. Neither the Company nor the Company Subsidiary has agreed or is obligated to make or is bound by any Contract under which it may become obligated to make, any future investment in or capital contribution to any other Entity. Neither the Company nor the Company Subsidiary has, at any time, been a general partner of, or has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otherwise been liable for, any of the debts or other obligations of, any general partnership, limited partnership or other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Organizational Documents</w:t>
      </w:r>
      <w:r>
        <w:rPr>
          <w:rFonts w:ascii="Times New Roman" w:hAnsi="Times New Roman"/>
          <w:b/>
          <w:color w:val="000000"/>
          <w:sz w:val="24"/>
        </w:rPr>
        <w:t>.</w:t>
      </w:r>
      <w:r>
        <w:rPr>
          <w:color w:val="000000"/>
        </w:rPr>
        <w:t xml:space="preserve"> </w:t>
      </w:r>
      <w:r>
        <w:rPr>
          <w:rFonts w:ascii="Times New Roman" w:hAnsi="Times New Roman"/>
          <w:color w:val="000000"/>
          <w:sz w:val="24"/>
        </w:rPr>
        <w:t>The Company has made available to Parent accurate and complete copies of the respective Organizational Documents of the Company and the Company Subsidiary, as applicable, as in effect as of the date of this Agreement. The Company and the Company Subsidiary are not in material breach or violation of any provision of their respective Organizational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Authority; Binding Nature of Agreement</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has all necessary corporate power and authority to enter into and to perform its obligations under this Agreement and, subject to receipt of the Required Company Stockholder Vote, to consummate the Contemplated Transactions. The Company Board (at meetings duly called and held or by written consent) has unanimously: (i) determined that the Contemplated Transactions are fair to, advisable and in the best interests of the Company and its stockholders; (ii) authorized, approved and declared advisable this Agreement and the Contemplated Transactions; and (iii) determined to recommend, upon the terms and subject to the conditions set forth in this Agreement, that the stockholders of the Company vote in favor of the Company Stockholder Matters.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has been duly executed and delivered by the Company and, assuming the due authorization, execution and delivery by Parent and Merger Subs, constitutes the legal, valid and binding obligation of the Company, enforceable against the Company in accordance with its terms, subject to the Enforceability Exceptions.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Vote Required</w:t>
      </w:r>
      <w:r>
        <w:rPr>
          <w:rFonts w:ascii="Times New Roman" w:hAnsi="Times New Roman"/>
          <w:b/>
          <w:color w:val="000000"/>
          <w:sz w:val="24"/>
        </w:rPr>
        <w:t>.</w:t>
      </w:r>
      <w:r>
        <w:rPr>
          <w:color w:val="000000"/>
        </w:rPr>
        <w:t xml:space="preserve"> </w:t>
      </w:r>
      <w:r>
        <w:rPr>
          <w:rFonts w:ascii="Times New Roman" w:hAnsi="Times New Roman"/>
          <w:color w:val="000000"/>
          <w:sz w:val="24"/>
        </w:rPr>
        <w:t>The affirmative vote (or written consent) of (a) the holders of a majority of the shares of Company Common Stock and Company Preferred Stock each outstanding on the record date for the Stockholder Written Consent and entitled to vote thereon, voting as a single class on an as-converted basis, and (b) the holders of at least a majority of the shares of Company Preferred Stock outstanding on the record date for the Stockholder Written Consent and entitled to vote thereon, voting as a single class on an as-converted basis ((a) and (b) collectively, the “</w:t>
      </w:r>
      <w:r>
        <w:rPr>
          <w:rFonts w:ascii="Times New Roman" w:hAnsi="Times New Roman"/>
          <w:b/>
          <w:i/>
          <w:color w:val="000000"/>
          <w:sz w:val="24"/>
        </w:rPr>
        <w:t>Required Company Stockholder Vote</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 xml:space="preserve">is the only vote (or written consent) of the holders of any class or series of Company Capital Stock necessary to adopt and approve this Agreement and approve the Contemplated Transactions. No other corporate proceedings by the Company is necessary to authorize this Agreement or to consummate the Contemplated Transactions. The Stockholder Written Consent executed by the Required Company Stockholder Vote is effective as of the execution of this Agreement.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Non-Contravention: Consents</w:t>
      </w:r>
      <w:r>
        <w:rPr>
          <w:rFonts w:ascii="Times New Roman" w:hAnsi="Times New Roman"/>
          <w:b/>
          <w:color w:val="000000"/>
          <w:sz w:val="24"/>
        </w:rPr>
        <w:t>.</w:t>
      </w:r>
      <w:r>
        <w:rPr>
          <w:color w:val="000000"/>
        </w:rPr>
        <w:t xml:space="preserve"> </w:t>
      </w:r>
      <w:r>
        <w:rPr>
          <w:rFonts w:ascii="Times New Roman" w:hAnsi="Times New Roman"/>
          <w:color w:val="000000"/>
          <w:sz w:val="24"/>
        </w:rPr>
        <w:t>Subject to obtaining the Required Company Stockholder Vote, the filing of the Certificates of Merger required by the DGCL, and the filing of the Series D Certificate of Designation, neither (x) the execution, delivery or performance of this Agreement by the Company, nor (y) the consummation of the Contemplated Transactions, will directly or indirectly (with or without notice or lapse of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contravene, conflict with or result in a violation of any of the provisions of the Organizational Documents of the Company or the Company Subsidiary;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contravene, conflict with or result in a violation of, or give any Governmental Body or other Person the right to challenge the Contemplated Transactions or to exercise any remedy or obtain any relief under, any Law or any order, writ, injunction, judgment or decree to which the Company or the Company Subsidiary, or any of the assets owned or used by the Company or the Company Subsidiary, is subject, except as would not reasonably be expected to be material to the Company and the Company Subsidiary, taken as a whole, or their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contravene, conflict with or result in a violation of any of the terms or requirements of, or give any Governmental Body the right to revoke, withdraw, suspend, cancel, terminate or modify, any Governmental Authorization that is held by the Company or the Company Subsidiary, except as would not reasonably be expected to be material to the Company and the Company Subsidiary, taken as a whole, or their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contravene, conflict with or result in a violation or breach of, or result in a default under, any provision of any Company Material Contract, or give any Person the right to: (i) declare a default or exercise any remedy under any Company Material Contract; (ii) any material payment, rebate, chargeback, penalty or change in delivery schedule under any Company Material Contract; (iii) accelerate the maturity or performance of any Company Material Contract; or (iv) cancel, terminate or modify any term of any Company Material Contract, except in the case of any non-material breach, default, penalty or modification;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result in the imposition or creation of any Encumbrance upon or with respect to any asset owned or used by the Company or the Company Subsidiary (except for Permitted Encumbrances).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for (i) any Consent set forth in </w:t>
      </w:r>
      <w:r>
        <w:rPr>
          <w:rFonts w:ascii="Times New Roman" w:hAnsi="Times New Roman"/>
          <w:color w:val="000000"/>
          <w:sz w:val="24"/>
          <w:u w:val="single"/>
        </w:rPr>
        <w:t>Section 2.5</w:t>
      </w:r>
      <w:r>
        <w:rPr>
          <w:rFonts w:ascii="Times New Roman" w:hAnsi="Times New Roman"/>
          <w:color w:val="000000"/>
          <w:sz w:val="24"/>
        </w:rPr>
        <w:t xml:space="preserve"> of the Company Disclosure Schedule under any Company Contract, (ii) the Required Company Stockholder Vote, (iii) the filing of the Certificates of Merger with the Secretary of State of the State of Delaware pursuant to the DGCL, (iv) the filing of the Series D Certificate of Designation with the Secretary of State of the State of Delaware pursuant to the DGCL and (v) such consents, waivers, approvals, orders, authorizations, registrations, declarations and filings as may be required under applicable federal and state securities Laws or the rules of Nasdaq, neither the Company nor the Company Subsidiary is or will be required to make any filing with or give any notice to, or to obtain any Consent from, any Person in connection with (A) the execution, delivery or performance of this Agreement, or (B) the consummation of the Contemplated Transactions. The Company Board has taken and will take all actions necessary to ensure that the restrictions applicable to business combinations contained in Section 203 of the DGCL (or analogous provisions) are, and will be, inapplicable to the execution, delivery and performance of this Agreement, the Lock-Up Agreements and to the consummation of the Contemplated Transactions. No other state takeover statute or similar Law applies or purports to apply to the Merger, this Agreement, the Lock-Up Agreements or any of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Capitalization</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The authorized Company Capital Stock as of the date of this Agreement consists of (i) 12,000,000 shares of Company Common Stock, of which 2,324,626 shares are issued and are outstanding as of the date of this Agreement, and (ii) 7,906,094 shares of Preferred Stock, par value $0.0001 per share (the “</w:t>
      </w:r>
      <w:r>
        <w:rPr>
          <w:rFonts w:ascii="Times New Roman" w:hAnsi="Times New Roman"/>
          <w:b/>
          <w:i/>
          <w:color w:val="000000"/>
          <w:sz w:val="24"/>
        </w:rPr>
        <w:t>Company Preferred Stock</w:t>
      </w:r>
      <w:r>
        <w:rPr>
          <w:rFonts w:ascii="Times New Roman" w:hAnsi="Times New Roman"/>
          <w:color w:val="000000"/>
          <w:sz w:val="24"/>
        </w:rPr>
        <w:t xml:space="preserve">”), of which (A) 1,704,544 shares are designated as Series A-1 Preferred Stock and (B) 6,201,550 shares are designated as Series A Preferred Stock, of which 7,906,094 shares of Company Preferred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Stock were issued and were outstanding as of the date of this Agreement. The Company does not hold any shares of its capital stock in its treasury. </w:t>
      </w:r>
      <w:r>
        <w:rPr>
          <w:rFonts w:ascii="Times New Roman" w:hAnsi="Times New Roman"/>
          <w:color w:val="000000"/>
          <w:sz w:val="24"/>
          <w:u w:val="single"/>
        </w:rPr>
        <w:t>Section 2.6(a)(i)</w:t>
      </w:r>
      <w:r>
        <w:rPr>
          <w:rFonts w:ascii="Times New Roman" w:hAnsi="Times New Roman"/>
          <w:color w:val="000000"/>
          <w:sz w:val="24"/>
        </w:rPr>
        <w:t xml:space="preserve"> of the Company Disclosure Schedule lists, as of the date of this Agreement, each record holder of issued and outstanding Company Capital Stock and the number and type of shares of Company Capital Stock held by such holder.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All of the outstanding shares of Company Capital Stock have been duly authorized and validly issued and are fully paid and nonassessable. All of the outstanding shares of the Company Subsidiary capital stock have been duly authorized and validly issued and are fully paid and nonassessable. Except as set forth in the Investor Agreements, none of the outstanding shares of Company Capital Stock or Company Common Stock was or is entitled or subject to any preemptive right, right of participation, right of maintenance or any similar right and none of the outstanding shares of Company Capital Stock was or is subject to any right of first refusal in favor of the Company. Except as contemplated herein or as set forth in the Investor Agreements, there has been and there is no Company Contract relating to the voting or registration of, or restricting any Person from purchasing, selling, pledging or otherwise disposing of (or granting any option or similar right with respect to), any shares of Company Capital Stock or Company Subsidiary capital stock. The Company and the Company Subsidiary are not under any obligation, nor bound by any Contract pursuant to which either may become obligated, to repurchase, redeem or otherwise acquire any outstanding shares of Company Capital Stock, the Company Subsidiary capital stock or other securities. </w:t>
      </w:r>
      <w:r>
        <w:rPr>
          <w:rFonts w:ascii="Times New Roman" w:hAnsi="Times New Roman"/>
          <w:color w:val="000000"/>
          <w:sz w:val="24"/>
          <w:u w:val="single"/>
        </w:rPr>
        <w:t>Section 2.6(b)</w:t>
      </w:r>
      <w:r>
        <w:rPr>
          <w:rFonts w:ascii="Times New Roman" w:hAnsi="Times New Roman"/>
          <w:color w:val="000000"/>
          <w:sz w:val="24"/>
        </w:rPr>
        <w:t xml:space="preserve"> of the Company Disclosure Schedule accurately and completely lists, as of the date of this Agreement, all repurchase rights held by the Company with respect to shares of Company Capital Stock (including shares issued pursuant to the exercise of stock options) and specifies which of those repurchase rights are currently exercisable.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Except for the Prana Therapies, Inc. 2025 Equity Incentive Plan, as amended from time to time (the “</w:t>
      </w:r>
      <w:r>
        <w:rPr>
          <w:rFonts w:ascii="Times New Roman" w:hAnsi="Times New Roman"/>
          <w:b/>
          <w:i/>
          <w:color w:val="000000"/>
          <w:sz w:val="24"/>
        </w:rPr>
        <w:t>Company Plan</w:t>
      </w:r>
      <w:r>
        <w:rPr>
          <w:rFonts w:ascii="Times New Roman" w:hAnsi="Times New Roman"/>
          <w:color w:val="000000"/>
          <w:sz w:val="24"/>
        </w:rPr>
        <w:t xml:space="preserve">”), the Company does not have any stock option plan or any other plan, program, agreement or arrangement providing for any equity or equity-based compensation for any Person. As of the date of this Agreement, the Company has reserved 1,395,098 shares of Company Common Stock for issuance under the Company Plan, of which no shares have been issued and are currently outstanding. As of the date of this Agreement, 450,594 shares have been issued pursuant to the exercise of Company Options previously granted and currently outstanding under the Company Plan, and 944,504 shares of Company Common Stock remain available for future issuance of awards pursuant to the Company Plan. </w:t>
      </w:r>
      <w:r>
        <w:rPr>
          <w:rFonts w:ascii="Times New Roman" w:hAnsi="Times New Roman"/>
          <w:color w:val="000000"/>
          <w:sz w:val="24"/>
          <w:u w:val="single"/>
        </w:rPr>
        <w:t>Section 2.6(c)</w:t>
      </w:r>
      <w:r>
        <w:rPr>
          <w:rFonts w:ascii="Times New Roman" w:hAnsi="Times New Roman"/>
          <w:color w:val="000000"/>
          <w:sz w:val="24"/>
        </w:rPr>
        <w:t xml:space="preserve"> of the Company Disclosure Schedule sets forth the following information with respect to each Company Option outstanding as of the date of this Agreement: (i) the name of the optionee; (ii) the number of shares of Company Common Stock subject to such Company Option at the time of grant; (iii) the number of shares of Company Common Stock subject to such Company Option as of the date of this Agreement; (iv) the exercise price of such Company Option; (v) the date on which such Company Option was granted; (vi) the applicable vesting schedule, including the number of vested and unvested shares as of the date of this Agreement and any acceleration provisions; (vii) the date on which such Company Option expires; (viii) whether such Company Option is intended to constitute an “incentive stock option” (as defined in the Code) or a non-qualified stock option; and (ix) whether such Company Option is “early exercisable.” The Company has made available to Parent an accurate and complete copy of the Company Plan and a form of stock option agreement that is consistent in all material respects with the stock option agreements evidencing outstanding Company Options granted thereunder.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for Company Options set forth in </w:t>
      </w:r>
      <w:r>
        <w:rPr>
          <w:rFonts w:ascii="Times New Roman" w:hAnsi="Times New Roman"/>
          <w:color w:val="000000"/>
          <w:sz w:val="24"/>
          <w:u w:val="single"/>
        </w:rPr>
        <w:t>Section 2.6(d)</w:t>
      </w:r>
      <w:r>
        <w:rPr>
          <w:rFonts w:ascii="Times New Roman" w:hAnsi="Times New Roman"/>
          <w:color w:val="000000"/>
          <w:sz w:val="24"/>
        </w:rPr>
        <w:t xml:space="preserve"> of the Company Disclosure Schedule and as set forth on </w:t>
      </w:r>
      <w:r>
        <w:rPr>
          <w:rFonts w:ascii="Times New Roman" w:hAnsi="Times New Roman"/>
          <w:color w:val="000000"/>
          <w:sz w:val="24"/>
          <w:u w:val="single"/>
        </w:rPr>
        <w:t>Section 2.6(a)</w:t>
      </w:r>
      <w:r>
        <w:rPr>
          <w:rFonts w:ascii="Times New Roman" w:hAnsi="Times New Roman"/>
          <w:color w:val="000000"/>
          <w:sz w:val="24"/>
        </w:rPr>
        <w:t xml:space="preserve"> of the Company Disclosure Schedule, as of immediately prior to the First Effective Time, there are no other: (i) outstanding subscription, option, call, warrant or right (whether or not currently exercisable) to acquire any shares of the capital stock or other securities of the Company or the Company Subsidiary; (ii) outstanding security, instrument or obligation that is or may become convertible into or exchangeable for any shares of the capital stock or other securities of the Company or the Company Subsidiary; or (iii) condition or circumstance that could be reasonably likely to give rise to or provide a basis for the assertion of a claim by any Person to the effect that such Person is entitled to acquire or receive any shares of capital stock or other securities of the Company or the Company Subsidiary. There are no outstanding or authorized stock appreciation, phantom stock, profit participation or other similar rights with respect to the Company or the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outstanding shares of Company Common Stock, Company Preferred Stock, Company Options and other securities of the Company have been issued and granted in material compliance with (i) the Organizational Documents of the Company in effect as of the relevant time and all applicable securities Laws and other applicable Law, and (ii) all requirements set forth in applicable Contracts.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distributions, dividends, repurchases and redemptions of the Company Capital Stock or other equity interests of the Company were undertaken in material compliance with (i) the Organizational Documents of the Company in effect as of the relevant time and all applicable securities Laws and other applicable Laws, and (ii) all requirements set forth in applicable Contracts.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Financial Statements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Concurrently with the execution hereof, the Company has provided to Parent true and complete copies of (i) the Company Unaudited Interim Balance Sheet and (ii) the Company Subsidiary Unaudited Interim Balance Sheet, in each case for the seven-month period ending July 31, 2026 (collectively, the “</w:t>
      </w:r>
      <w:r>
        <w:rPr>
          <w:rFonts w:ascii="Times New Roman" w:hAnsi="Times New Roman"/>
          <w:b/>
          <w:i/>
          <w:color w:val="000000"/>
          <w:sz w:val="24"/>
        </w:rPr>
        <w:t>Company Financials</w:t>
      </w:r>
      <w:r>
        <w:rPr>
          <w:rFonts w:ascii="Times New Roman" w:hAnsi="Times New Roman"/>
          <w:color w:val="000000"/>
          <w:sz w:val="24"/>
        </w:rPr>
        <w:t>”). The Company Financials were prepared in accordance with GAAP (except as may be indicated in the notes to such financial statements and except that the unaudited financial statements may not contain footnotes and are subject to normal and recurring year-end adjustments, none of which is material) and fairly present, in all material respects, the financial position and operating results of the Company as of the dates and for the periods indicated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maintains accurate books and records reflecting its assets and liabilities and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accordance with GAAP and to maintain accountability of the Company’s assets; (iii) access to the Company’s assets is permitted only in accordance with management’s general or specific authorization; (iv) the recorded accountability for the Company’s assets is compared with the existing assets at regular intervals and appropriate action is taken with respect to any differences; and (v) accounts, notes and other receivables and inventory are recorded accurately, and proper and adequate procedures are implemented which are designed to effect the collection thereof on a current and timely basis.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Company Subsidiary has entered into any securitization transactions or “off-balance sheet arrangements” (as defined in Item 303(c) of Regulation S-K under the Exchange Act) effected by the Company or the Company Subsidiary since January 1, 2023.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Since January 1, 2023, there have been no formal investigations regarding financial reporting or accounting policies and practices discussed with, reviewed by or initiated at the direction of the chief executive officer or the chief financial officer of the Company, the Company Board or any committee thereof. Since January 1, 2023, neither the Company nor the Company Subsidiary has identified (i) any significant deficiency or material weakness in the design or operation of the system of internal accounting controls utilized by the Company or the Company Subsidiary, (ii) any fraud, whether or not material, that involves the Company or the Company Subsidiary, the Company’s or the Company Subsidiary’s management or other employees who have a role in the preparation of financial statements or the internal accounting controls utilized by the Company or the Company Subsidiary or (iii) any claim or allegation regarding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Absence of Changes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Except as set forth in </w:t>
      </w:r>
      <w:r>
        <w:rPr>
          <w:rFonts w:ascii="Times New Roman" w:hAnsi="Times New Roman"/>
          <w:color w:val="000000"/>
          <w:sz w:val="24"/>
          <w:u w:val="single"/>
        </w:rPr>
        <w:t>Section 2.8</w:t>
      </w:r>
      <w:r>
        <w:rPr>
          <w:color w:val="000000"/>
        </w:rPr>
        <w:t xml:space="preserve"> </w:t>
      </w:r>
      <w:r>
        <w:rPr>
          <w:rFonts w:ascii="Times New Roman" w:hAnsi="Times New Roman"/>
          <w:color w:val="000000"/>
          <w:sz w:val="24"/>
        </w:rPr>
        <w:t>of the Company Disclosure Schedule, since the date of the Company Unaudited Interim Balance Sheet through the date of this Agreement, each of the Company and the Company Subsidiary has conducted its business only in the Ordinary Course of Business (except for the execution and performance of this Agreement and the discussions, negotiations and transactions related thereto) and there has not been any (x) Company Material Adverse Effect and (y) neither the Company nor the Company Subsidiary has done any of the 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declared, accrued, set aside or paid any dividend or made any other distribution in respect of any shares of its capital stock; or repurchased, redeemed or otherwise reacquired any shares of its capital stock or other securities (except for shares of Company Common Stock from terminated employees, directors or consultants of the Company or in connection with the payment of the exercise price and/or withholding Taxes incurred upon the exercise, settlement or vesting of any award granted under the Company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sold, issued, granted, pledged, disposed of or otherwise encumbered (other than encumbrances pursuant to applicable securities Laws) or authorized any encumbrance (other than encumbrances pursuant to applicable securities Laws) with respect to: (A) any capital stock or other security of the Company or Company Subsidiary (except for Company Common Stock issued upon the valid exercise of outstanding Company Options); (B) any option, warrant or right to acquire any capital stock or any other security, other than option grants to employees and consultants in the Ordinary Course of Business; or (C) any instrument convertible into or exchangeable for any capital stock or other security of the Company or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formed any Subsidiary or acquired any equity interest or other interest in any other Entity or entered into a joint venture with any other Entity;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adopted, terminated, established or entered into any Company Benefit Plan (or any plan, arrangement, agreement, program or policy that would be a Company Benefit Plan if it were in existence as of the date of this Agreement), other than as required by applicable Law; (B) caused or permitted any Company Benefit Plan to be amended in any material respect, other than as required by applicable Law; (C) paid any bonus or distributed any profit-sharing account balances or similar payment to, or increased the amount of the wages, salary, commissions, benefits or other compensation or remuneration payable to, any of its directors, officers, employees, independent contractors, or consultants; (D) paid, increased, amended, or granted any severance, change-of-control, or retention benefits any current or former director, officer, employee, independent contractor, consultant, or other Person; (E) hired, engaged, terminated, or given notice of termination (other than for cause) to any officer, employee, contractor, or consultant; or (F) made any loans or entered into any commitments to make any loans to any current or former director, officer, independent contractor or employee;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entered into any collective bargaining agreement or similar agreement with any labor union or similar labor 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entered into any material transaction outside of the Ordinary Course of Business other than in connection with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acquired any material asset or sold, leased or otherwise irrevocably disposed of any of its assets or properties (other than the disposal of obsolete assets), or granted any Encumbrance (other than Permitted Encumbrances) with respect to such assets or properties, except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sold, assigned, transferred, licensed, sublicensed or otherwise disposed of any material Company IP (other than pursuant to non-exclusive licenses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made, changed or revoked any material Tax election (other than elections made in the Ordinary Course of Business), failed to pay any income or other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accounting method in respect of Taxes (other than accounting methods adopted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made any expenditures, incurred any Liabilities or discharged or satisfied any Liabilities, in each case, in amounts that exceed the aggregate amount of $250,000;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as required by Law or GAAP, taken any action to change accounting policies or procedures;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initiated or settled any Legal Proceeding;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agreed, resolved or committed to do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Absence of Undisclosed Liabilities</w:t>
      </w:r>
      <w:r>
        <w:rPr>
          <w:rFonts w:ascii="Times New Roman" w:hAnsi="Times New Roman"/>
          <w:b/>
          <w:color w:val="000000"/>
          <w:sz w:val="24"/>
        </w:rPr>
        <w:t>.</w:t>
      </w:r>
      <w:r>
        <w:rPr>
          <w:color w:val="000000"/>
        </w:rPr>
        <w:t xml:space="preserve"> </w:t>
      </w:r>
      <w:r>
        <w:rPr>
          <w:rFonts w:ascii="Times New Roman" w:hAnsi="Times New Roman"/>
          <w:color w:val="000000"/>
          <w:sz w:val="24"/>
        </w:rPr>
        <w:t>As of the date hereof, neither the Company nor the Company Subsidiary has any liability, indebtedness, obligation or expense of any kind, whether accrued, absolute, contingent, matured or unmatured (whether or not required to be reflected in the financial statements in accordance with GAAP) (each a “</w:t>
      </w:r>
      <w:r>
        <w:rPr>
          <w:rFonts w:ascii="Times New Roman" w:hAnsi="Times New Roman"/>
          <w:b/>
          <w:i/>
          <w:color w:val="000000"/>
          <w:sz w:val="24"/>
        </w:rPr>
        <w:t>Liability</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 xml:space="preserve">individually or in the aggregate, of a type required to be recorded or reflected on a balance sheet or disclosed in the footnotes thereto under GAAP, except for: (a) Liabilities disclosed, reflected or reserved against in the Company Unaudited Interim Balance Sheet; (b) Liabilities that have been incurred by the Company or the Company Subsidiary since the date of the Company Unaudited Interim Balance Sheet in the Ordinary Course of Business; (c) Liabilities for performance of obligations under Company Contracts in the Ordinary Course of Business (other than those resulting from a breach of such Company Contracts); (d) Liabilities incurred in connection with the Contemplated Transactions; (e) Liabilities which would not, individually or in the aggregate, reasonably be expected to be material to the Company and the Company Subsidiary, taken as a whole; and (f) Liabilities described in </w:t>
      </w:r>
      <w:r>
        <w:rPr>
          <w:rFonts w:ascii="Times New Roman" w:hAnsi="Times New Roman"/>
          <w:color w:val="000000"/>
          <w:sz w:val="24"/>
          <w:u w:val="single"/>
        </w:rPr>
        <w:t>Section 2.9</w:t>
      </w:r>
      <w:r>
        <w:rPr>
          <w:color w:val="000000"/>
        </w:rPr>
        <w:t xml:space="preserve"> </w:t>
      </w:r>
      <w:r>
        <w:rPr>
          <w:rFonts w:ascii="Times New Roman" w:hAnsi="Times New Roman"/>
          <w:color w:val="000000"/>
          <w:sz w:val="24"/>
        </w:rPr>
        <w:t>of the Company Disclosure Schedule.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Title to Assets</w:t>
      </w:r>
      <w:r>
        <w:rPr>
          <w:rFonts w:ascii="Times New Roman" w:hAnsi="Times New Roman"/>
          <w:b/>
          <w:color w:val="000000"/>
          <w:sz w:val="24"/>
        </w:rPr>
        <w:t>.</w:t>
      </w:r>
      <w:r>
        <w:rPr>
          <w:color w:val="000000"/>
        </w:rPr>
        <w:t xml:space="preserve"> </w:t>
      </w:r>
      <w:r>
        <w:rPr>
          <w:rFonts w:ascii="Times New Roman" w:hAnsi="Times New Roman"/>
          <w:color w:val="000000"/>
          <w:sz w:val="24"/>
        </w:rPr>
        <w:t>The Company and the Company Subsidiary own, and have good and valid title to, or, in the case of leased properties and assets, valid leasehold interests in, all tangible properties or tangible assets and equipment used or held for use in their business or operations or purported to be owned by them that are material to the Company and the Company Subsidiary, taken as a whole, or their business, including: (a) all material tangible assets reflected on the Company Unaudited Interim Balance Sheet; and (b) all other material tangible assets reflected in the books and records of the Company or the Company Subsidiary as being owned by the Company or the Company Subsidiary, as applicable. All of such material tangible assets are owned or, in the case of leased assets, leased by the Company or the Company Subsidiary, as applicable, free and clear of any Encumbrances, other than Permitted Encumbrances.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Real Property; Leasehold</w:t>
      </w:r>
      <w:r>
        <w:rPr>
          <w:rFonts w:ascii="Times New Roman" w:hAnsi="Times New Roman"/>
          <w:b/>
          <w:color w:val="000000"/>
          <w:sz w:val="24"/>
        </w:rPr>
        <w:t>.</w:t>
      </w:r>
      <w:r>
        <w:rPr>
          <w:color w:val="000000"/>
        </w:rPr>
        <w:t xml:space="preserve"> </w:t>
      </w:r>
      <w:r>
        <w:rPr>
          <w:rFonts w:ascii="Times New Roman" w:hAnsi="Times New Roman"/>
          <w:color w:val="000000"/>
          <w:sz w:val="24"/>
        </w:rPr>
        <w:t>Neither the Company nor the Company Subsidiary owns, nor has ever owned, any real property. The Company has made available to Parent (a) an accurate and complete list of all real properties with respect to which the Company or the Company Subsidiary directly or indirectly holds a valid leasehold interest as well as any other real estate that is in the possession of, or occupied or leased by, the Company or the Company Subsidiary and (b) copies of all leases under which any such real property is possessed, occupied or leased (the “</w:t>
      </w:r>
      <w:r>
        <w:rPr>
          <w:rFonts w:ascii="Times New Roman" w:hAnsi="Times New Roman"/>
          <w:b/>
          <w:i/>
          <w:color w:val="000000"/>
          <w:sz w:val="24"/>
        </w:rPr>
        <w:t>Company Real Estate Leases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each of which is in full force and effect, with no existing material default thereunder by the Company or the Company Subsidiary, or to the Knowledge of the Company, any other party thereto. The Company’s and the Company Subsidiary’s respective possession, occupancy, lease, use and/or operation of each such leased property conforms to the terms of the Company Real Estate Lease in all material respects, and the Company or the Company Subsidiary, as applicable,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Neither the Company nor the Company Subsidiary has received any written notice from its landlords or any Governmental Body that: (i) relates to violations of building, zoning, safety or fire ordinances or regulations; (ii) claims any defect or deficiency with respect to any of such properties; or (iii) requests the performance of any repairs, alterations or other work to such properties.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Intellectual Property; Privacy</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2.12(a)</w:t>
      </w:r>
      <w:r>
        <w:rPr>
          <w:rFonts w:ascii="Times New Roman" w:hAnsi="Times New Roman"/>
          <w:color w:val="000000"/>
          <w:sz w:val="24"/>
        </w:rPr>
        <w:t xml:space="preserve"> of the Company Disclosure Schedules identifies each item of Registered IP owned in whole or in part by the Company or the Company Subsidiary, including, with respect to each application and registration: (i) the name of the applicant or registrant and any other co-owner, (ii) the jurisdiction of application or registration, and (iii) the application or registration number. To the Knowledge of the Company, each of the patents and patent applications included in </w:t>
      </w:r>
      <w:r>
        <w:rPr>
          <w:rFonts w:ascii="Times New Roman" w:hAnsi="Times New Roman"/>
          <w:color w:val="000000"/>
          <w:sz w:val="24"/>
          <w:u w:val="single"/>
        </w:rPr>
        <w:t>Section 2.12(a)</w:t>
      </w:r>
      <w:r>
        <w:rPr>
          <w:rFonts w:ascii="Times New Roman" w:hAnsi="Times New Roman"/>
          <w:color w:val="000000"/>
          <w:sz w:val="24"/>
        </w:rPr>
        <w:t xml:space="preserve"> of the Company Disclosure Schedules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the Company, threatened in writing, in which the scope, validity, enforceability or ownership of any Company IP is being or has been contested or challenged. To the Knowledge of the Company, each item of Company IP is valid, enforceable and subsisting. Except as set forth in </w:t>
      </w:r>
      <w:r>
        <w:rPr>
          <w:rFonts w:ascii="Times New Roman" w:hAnsi="Times New Roman"/>
          <w:color w:val="000000"/>
          <w:sz w:val="24"/>
          <w:u w:val="single"/>
        </w:rPr>
        <w:t>Section 2.12(a)</w:t>
      </w:r>
      <w:r>
        <w:rPr>
          <w:rFonts w:ascii="Times New Roman" w:hAnsi="Times New Roman"/>
          <w:color w:val="000000"/>
          <w:sz w:val="24"/>
        </w:rPr>
        <w:t xml:space="preserve"> of the Company Disclosure Schedules, there are no actions, outside of the normal course of prosecution, that must be taken within ninety (90) days of the Closing, the failure of which will result in the abandonment, lapse or cancellation of any material Registered IP owned in whole or in part by the Company or the Company Subsidiary. To the Knowledge of the Company, the Company IP shall be available for use by the Surviving Entity immediately after the Closing Date on identical terms and conditions to those under which the Company, or the Company Subsidiary, as applicable, owned or used the Company IP immediately prior to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has not had and would not reasonably be expected to have, individually or in the aggregate, a Company Material Adverse Effect, the Company or the Company Subsidiary exclusively owns, is the sole assignee of, or has exclusively licensed all material Company IP (other than as disclosed in </w:t>
      </w:r>
      <w:r>
        <w:rPr>
          <w:rFonts w:ascii="Times New Roman" w:hAnsi="Times New Roman"/>
          <w:color w:val="000000"/>
          <w:sz w:val="24"/>
          <w:u w:val="single"/>
        </w:rPr>
        <w:t>Section 2.12(b)</w:t>
      </w:r>
      <w:r>
        <w:rPr>
          <w:rFonts w:ascii="Times New Roman" w:hAnsi="Times New Roman"/>
          <w:color w:val="000000"/>
          <w:sz w:val="24"/>
        </w:rPr>
        <w:t xml:space="preserve"> of the Company Disclosure Schedule), free and clear of all Encumbrances other than Permitted Encumbrances. To the Company’s Knowledge, the Company IP and all other Intellectual Property Rights licensed to the Company or the Company Subsidiary, pursuant to a valid, enforceable written agreement, constitute all Intellectual Property Rights used in, material to, or otherwise necessary for the operation of the Company’s business as currently conducted. All Intellectual Property Rights licensed to the Company or the Company Subsidiary are licensed pursuant to a valid, enforceable written agreement. Each Company Associate involved in the creation or development of any material Company IP, pursuant to such Company Associate’s activities on behalf of the Company or the Company Subsidiary, has signed a valid and enforceable written agreement containing an assignment of such Company Associate’s rights in such Company IP to the Company or the Company Subsidiary. Each Company Associate who has or has had access to the Company’s or the Company’s Subsidiary’s trade secrets or confidential information has signed a valid and enforceable written agreement containing confidentiality provisions protecting the Company IP, trade secrets and confidential information. Each of the Company and the Company Subsidiary has taken commercially reasonable steps to protect and preserve the confidentiality of its trade secrets and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w:t>
      </w:r>
      <w:r>
        <w:rPr>
          <w:rFonts w:ascii="Times New Roman" w:hAnsi="Times New Roman"/>
          <w:color w:val="000000"/>
          <w:sz w:val="24"/>
          <w:u w:val="single"/>
        </w:rPr>
        <w:t>Section 2.12(a)</w:t>
      </w:r>
      <w:r>
        <w:rPr>
          <w:rFonts w:ascii="Times New Roman" w:hAnsi="Times New Roman"/>
          <w:color w:val="000000"/>
          <w:sz w:val="24"/>
        </w:rPr>
        <w:t xml:space="preserve"> of the Company Disclosure Schedules, to the Knowledge of the Company, no funding, facilities or personnel of any Governmental Body or any university, college, research institute or other educational institution has been used to create or develop any Company IP owned or purported to be owned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the Company or the Company Subsidiary, except for any such funding or use of facilities or personnel that does not result in such Governmental Body or institution obtaining or having the right to obtain ownership rights or a license to such Company IP or the right to receive royalties for the practice of such Company IP.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2.12(d)</w:t>
      </w:r>
      <w:r>
        <w:rPr>
          <w:rFonts w:ascii="Times New Roman" w:hAnsi="Times New Roman"/>
          <w:color w:val="000000"/>
          <w:sz w:val="24"/>
        </w:rPr>
        <w:t xml:space="preserve"> of the Company Disclosure Schedules sets forth each license agreement pursuant to which the Company or the Company Subsidiary (i) is granted an exclusive license under any material Intellectual Property Right owned by any third party or is granted a license to any material Intellectual Property Right owned by any third party that is used by the Company or the Company Subsidiary in its business as currently conducted (each a “</w:t>
      </w:r>
      <w:r>
        <w:rPr>
          <w:rFonts w:ascii="Times New Roman" w:hAnsi="Times New Roman"/>
          <w:b/>
          <w:i/>
          <w:color w:val="000000"/>
          <w:sz w:val="24"/>
        </w:rPr>
        <w:t>Company In-bound License</w:t>
      </w:r>
      <w:r>
        <w:rPr>
          <w:rFonts w:ascii="Times New Roman" w:hAnsi="Times New Roman"/>
          <w:color w:val="000000"/>
          <w:sz w:val="24"/>
        </w:rPr>
        <w:t>”) or (ii) grants to any third party a license under any material Company IP or grants a license to a third party under any material Company IP (each a “</w:t>
      </w:r>
      <w:r>
        <w:rPr>
          <w:rFonts w:ascii="Times New Roman" w:hAnsi="Times New Roman"/>
          <w:b/>
          <w:i/>
          <w:color w:val="000000"/>
          <w:sz w:val="24"/>
        </w:rPr>
        <w:t>Company Out-bound License</w:t>
      </w:r>
      <w:r>
        <w:rPr>
          <w:rFonts w:ascii="Times New Roman" w:hAnsi="Times New Roman"/>
          <w:color w:val="000000"/>
          <w:sz w:val="24"/>
        </w:rPr>
        <w:t>”) (</w:t>
      </w:r>
      <w:r>
        <w:rPr>
          <w:rFonts w:ascii="Times New Roman" w:hAnsi="Times New Roman"/>
          <w:i/>
          <w:color w:val="000000"/>
          <w:sz w:val="24"/>
        </w:rPr>
        <w:t>provided</w:t>
      </w:r>
      <w:r>
        <w:rPr>
          <w:rFonts w:ascii="Times New Roman" w:hAnsi="Times New Roman"/>
          <w:color w:val="000000"/>
          <w:sz w:val="24"/>
        </w:rPr>
        <w:t xml:space="preserve">, that, Company In-bound Licenses shall not include Company Standard Inbound Contracts; and Company Out-bound Licenses shall not include Company Standard Outbound Contracts). To the Knowledge of the Company, all Company In-bound Licenses and Company Out-bound Licenses are in full force and effect and are valid, enforceable and binding obligations of the Company or the Company Subsidiary, as applicable, and, to the Knowledge of Company, each other party to such Company In-bound Licenses or Company Out-bound Licenses. Neither the Company or the Company Subsidiary, as applicable, nor, to the Knowledge of the Company, any other party to such Company In-bound Licenses or Company Out-bound Licenses, is in material breach under any Company In-bound Licenses or Company Out-bound Licenses. Except as set forth in </w:t>
      </w:r>
      <w:r>
        <w:rPr>
          <w:rFonts w:ascii="Times New Roman" w:hAnsi="Times New Roman"/>
          <w:color w:val="000000"/>
          <w:sz w:val="24"/>
          <w:u w:val="single"/>
        </w:rPr>
        <w:t>Section 2.12(d)</w:t>
      </w:r>
      <w:r>
        <w:rPr>
          <w:rFonts w:ascii="Times New Roman" w:hAnsi="Times New Roman"/>
          <w:color w:val="000000"/>
          <w:sz w:val="24"/>
        </w:rPr>
        <w:t xml:space="preserve"> of the Company Disclosure Schedule, none of the terms or conditions of any Company In-Bound License or any Company Out-Bound License requires the Company, the Company Subsidiary, or any of their Affiliates to maintain, develop or prosecute any Intellectual Property Rights should the Company or the Company Subsidiary choose to terminate such Intellectual Property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Knowledge of the Company: (i) the operation of the business of the Company and the Company Subsidiary does not infringe, misappropriate or otherwise violate any Intellectual Property Rights of any other Person and (ii) no other Person is infringing, misappropriating or otherwise violating any Company IP or any Intellectual Property Rights exclusively licensed to the Company. No Legal Proceeding is pending (or, to the Knowledge of the Company, is threatened in writing) (A) against the Company or the Company Subsidiary alleging that the operation of the business of the Company or the Company Subsidiary infringes or constitutes the misappropriation or other violation of any Intellectual Property Rights of another Person or (B) by the Company or the Company Subsidiary alleging that another Person has infringed, misappropriated or otherwise violated any of the Company IP. Since January 1, 2020, neither the Company nor the Company Subsidiary has received any written notice or other written communication alleging that the operation of the business of the Company or the Company Subsidiary infringes or constitutes the misappropriation or other violation of any Intellectual Property Right of another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Company IP owned or purported to be owned by the Company or the Company Subsidiary, or, to the Knowledge of the Company, none of the Company IP exclusively licensed to the Company or the Company Subsidiary is subject to any pending or outstanding injunction, directive, order, judgment or other disposition of dispute that adversely and materially restricts the use, transfer, registration or licensing by the Company or the Company Subsidiary of any such Company IP.</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Company and the Company Subsidiary and the operation of the Company’s and the Company Subsidiary’s business are, and at all times since January 1, 2023 have been, in material compliance with all applicable Privacy and Data Processing Requirements. Except as would not reasonably be expected to result in liability material to the Company or the Company Subsidiary, the Company and the Company Subsidiary have at all applicable times provided all notices, and obtained and maintained all rights, consents, and authorizations, to Process Company Data as Processed by or for the Company or the Company Subsidiary. Since January 1, 2023, except as would not reasonably be anticipated to result in liability material to the Company and the Company Subsidiary, taken as a whole, there has been (i) no loss or theft of, malfunction of, or security breach of Company Data or the Company’s or the Company Subsidiary’s information technology systems, (ii) no violation of any applicable written security policy of the Company or the Company Subsidiary regarding any such Company Data, and (iii) no unauthorized access to, or unauthorized, unintended, or improper use, disclosure, or other Processing of any Company Data. Since January 1, 2023, except as would not reasonably be expected to result in liability material to the Company and the Company Subsidiary, taken as a whole, the Company and Company Subsidiary have maintained commercially reasonable measures and maintained commercially reasonable disaster recovery and security plans, procedures or other measures designed to protect the information technology systems used in, material to or necessary for operation of the Company’s and the Company Subsidiary’s business as currently conducted and Company Data.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Agreements, Contracts and Commitments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2.13(a)</w:t>
      </w:r>
      <w:r>
        <w:rPr>
          <w:rFonts w:ascii="Times New Roman" w:hAnsi="Times New Roman"/>
          <w:color w:val="000000"/>
          <w:sz w:val="24"/>
        </w:rPr>
        <w:t xml:space="preserve"> of the Company Disclosure Schedule lists the following Company Contracts in effect as of the date of this Agreement other than any Company Benefit Plans or Company Excepted Contracts (each, a “</w:t>
      </w:r>
      <w:r>
        <w:rPr>
          <w:rFonts w:ascii="Times New Roman" w:hAnsi="Times New Roman"/>
          <w:b/>
          <w:i/>
          <w:color w:val="000000"/>
          <w:sz w:val="24"/>
        </w:rPr>
        <w:t>Company Material Contract</w:t>
      </w:r>
      <w:r>
        <w:rPr>
          <w:rFonts w:ascii="Times New Roman" w:hAnsi="Times New Roman"/>
          <w:color w:val="000000"/>
          <w:sz w:val="24"/>
        </w:rPr>
        <w:t>” and collectively, the “</w:t>
      </w:r>
      <w:r>
        <w:rPr>
          <w:rFonts w:ascii="Times New Roman" w:hAnsi="Times New Roman"/>
          <w:b/>
          <w:i/>
          <w:color w:val="000000"/>
          <w:sz w:val="24"/>
        </w:rPr>
        <w:t>Company Material Contracts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the primary purpose of which is relating to any agreement of indemnification or guaranty not entered into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containing (A) any covenant limiting in any material respect the freedom of the Company or the Company Subsidiary, as applicable, to engage in any line of business or compete with any Person; (B) any most-favored nation or other preferred pricing arrangement in favor of a Person other than the Company or the Company Subsidiary or any similar term by which any Person is or could become entitled to any benefit, right or privilege that must be at least as favorable to such Person as those offered to any other Person; (C) any exclusivity provision, option to receive a license, right of first refusal or right of first negotiation or similar covenant in favor of a Person other than the Company or the Company Subsidiary, as applicable; or (D) any non</w:t>
        <w:noBreakHyphen/>
        <w:t>solicitation provision, which, for the avoidance of doubt, shall not include any Company Contract that is (1) a confidentiality, non-disclosure or similar agreement, (2) a license agreement, or (3) a services, consulting or similar agreement, in each case, entered into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relating to capital expenditures and requiring payments after the date of this Agreement in excess of $100,000 pursuant to its express terms and not cancelable without penalty;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relating to the disposition or acquisition of material tangible assets or any ownership interest in any Entity, except as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relating to any mortgages, indentures, loans, notes or credit agreements, security agreements or other agreements or instruments relating to the borrowing of money or extension of credit or creating any material Encumbrances (excluding any Permitted Encumbrances) with respect to any assets of the Company or the Company Subsidiary, as applicable, or any loans or debt obligations with officers or directors of the Company or the Company Subsidiary,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requiring payment by or to the Company or the Company Subsidiary after the date of this Agreement in excess of $100,000 in the aggregate in the current calendar year or any future calendar year pursuant to its express terms relating to: (A) any distribution agreement (identifying any that contain exclusivity provisions); (B) any agreement involving provision of services or products with respect to any pre-clinical or clinical development activities of the Company or the Company Subsidiary, as applicable; (C) any dealer, distributor, joint marketing, alliance, joint venture, cooperation, development or other agreement currently in force under which the Company or the Company Subsidiary, as applicable, has continuing obligations to develop or market any product, technology or service, or any agreement pursuant to which the Company or the Company Subsidiary, as applicable, has continuing obligations to develop any Intellectual Property Rights that will not be owned, in whole or in part, by the Company or the Company Subsidiary, as applicable; or (D) any Contract with any third party providing any services relating to the manufacture or production of any product, service or technology of the Company or the Company Subsidiary, as applicable, or any Contract to sell, distribute or commercialize any products or service of the Company or the Company Subsidiary,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with any financial advisor, broker, finder, investment banker or other similar Person providing financial advisory services to the Company or the Company Subsidiary in connection with the Contemplated Transactions and entitled to payment by the Company or any of its Subsidiaries as a result of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Real Estate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with any Governmental Body;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Out-bound License and Company In-bound License, and each Company Contract containing a covenant not to sue or otherwise enforce any Intellectual Property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requiring the payment of any royalty, milestones, dividend or similar arrangement based on the revenues or profits of the Company or the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providing any option to receive a license or other right, any right of first negotiation, any right of first refusal or any similar right to any Person related to any material Company IP or material Intellectual Property Right licensed to the Company or the Company Subsidiary under a Company In-bound License;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Company Contract entered into in settlement of any Legal Proceeding or other dispute;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Company Contract, offer letter, employment agreement, or independent contractor agreement with any current Company Associate providing for annual base compensation in excess of $150,000 or that is not immediately terminable at will by the Company or the Company Subsidiary without notice, severance or other cost or payment;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Contract that provides for retention payments, change of control payments, severance, accelerated vesting, or any similar payment or benefit that may or will become due as a result of the Merger or the consummation of the Contemplated Transactions;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Company Contract that is not terminable at will (with no penalty or payment or requirement for prior notice, except as required by applicable law) by the Company or the Company Subsidiary, as applicable and which involves payment or receipt by the Company or the Company Subsidiary, as applicable after the date of this Agreement under any such agreement, Contract or commitment of more than $500,000 in the aggregate, or obligations after the date of this Agreement in excess of $500,000 in the aggregate.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Company has delivered or made available to Parent accurate and complete copies of all Company Material Contracts, including all amendments thereto. Except as set forth in </w:t>
      </w:r>
      <w:r>
        <w:rPr>
          <w:rFonts w:ascii="Times New Roman" w:hAnsi="Times New Roman"/>
          <w:color w:val="000000"/>
          <w:sz w:val="24"/>
          <w:u w:val="single"/>
        </w:rPr>
        <w:t>Section 2.13(b)</w:t>
      </w:r>
      <w:r>
        <w:rPr>
          <w:rFonts w:ascii="Times New Roman" w:hAnsi="Times New Roman"/>
          <w:color w:val="000000"/>
          <w:sz w:val="24"/>
        </w:rPr>
        <w:t xml:space="preserve"> of the Company Disclosure Schedule, there are no Company Material Contracts that are not in written form. Neither the Company nor the Company Subsidiary, nor, to the Company’s Knowledge, as of the date of this Agreement any other party to a Company Material Contract, has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be material to the Company and the Company Subsidiary, taken as a whole, or their business. As to the Company and the Company Subsidiary, as applicable,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or the Company Subsidiary, as applicable under any Company Material Contract or any other material term or provision of any Company Material Contract, and no Person has indicated in writing to the Company or the Company Subsidiary that it desires to renegotiate, modify, not renew, cancel, or terminate any such Company Material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Compliance; Permits; Restrictions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Each of the Company and the Company Subsidiary is, and since January 1, 2023, has been, in compliance in all material respects with all applicable Laws, including the Federal Food, Drug and Cosmetic Act and regulations issued thereunder by the United States Food and Drug Administration (“</w:t>
      </w:r>
      <w:r>
        <w:rPr>
          <w:rFonts w:ascii="Times New Roman" w:hAnsi="Times New Roman"/>
          <w:b/>
          <w:i/>
          <w:color w:val="000000"/>
          <w:sz w:val="24"/>
        </w:rPr>
        <w:t>FDA</w:t>
      </w:r>
      <w:r>
        <w:rPr>
          <w:rFonts w:ascii="Times New Roman" w:hAnsi="Times New Roman"/>
          <w:color w:val="000000"/>
          <w:sz w:val="24"/>
        </w:rPr>
        <w:t>” and collectively, the “</w:t>
      </w:r>
      <w:r>
        <w:rPr>
          <w:rFonts w:ascii="Times New Roman" w:hAnsi="Times New Roman"/>
          <w:b/>
          <w:i/>
          <w:color w:val="000000"/>
          <w:sz w:val="24"/>
        </w:rPr>
        <w:t>FDCA</w:t>
      </w:r>
      <w:r>
        <w:rPr>
          <w:rFonts w:ascii="Times New Roman" w:hAnsi="Times New Roman"/>
          <w:color w:val="000000"/>
          <w:sz w:val="24"/>
        </w:rPr>
        <w:t>”), the Public Health Service Act and regulations issued thereunder by the FDCA (collectively, the “</w:t>
      </w:r>
      <w:r>
        <w:rPr>
          <w:rFonts w:ascii="Times New Roman" w:hAnsi="Times New Roman"/>
          <w:b/>
          <w:i/>
          <w:color w:val="000000"/>
          <w:sz w:val="24"/>
        </w:rPr>
        <w:t>PHSA</w:t>
      </w:r>
      <w:r>
        <w:rPr>
          <w:rFonts w:ascii="Times New Roman" w:hAnsi="Times New Roman"/>
          <w:color w:val="000000"/>
          <w:sz w:val="24"/>
        </w:rPr>
        <w:t xml:space="preserve">”) and any other similar Law administered or promulgated by the FDA or other comparable Governmental Body responsible for regulation of the research, development,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pre-clinical and clinical testing, manufacturing, storage, supply, approval, sale, marketing, distribution and importation or exportation of drug and biological products (each, a “</w:t>
      </w:r>
      <w:r>
        <w:rPr>
          <w:rFonts w:ascii="Times New Roman" w:hAnsi="Times New Roman"/>
          <w:b/>
          <w:i/>
          <w:color w:val="000000"/>
          <w:sz w:val="24"/>
        </w:rPr>
        <w:t>Drug Regulatory Agency</w:t>
      </w:r>
      <w:r>
        <w:rPr>
          <w:rFonts w:ascii="Times New Roman" w:hAnsi="Times New Roman"/>
          <w:color w:val="000000"/>
          <w:sz w:val="24"/>
        </w:rPr>
        <w:t xml:space="preserve">”), except for any noncompliance, either individually or in the aggregate, which would not be material to the Company and the Company Subsidiary, taken as a whole.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Knowledge of the Company, no Legal Proceeding or other action by any Governmental Body, including any Drug Regulatory Agency, is pending or threatened against the Company or the Company Subsidiary. There is no agreement, judgment, injunction, order or decree binding upon the Company or the Company Subsidiary which (i) has or would reasonably be expected to have the effect of prohibiting or materially impairing any business practice of the Company or the Company Subsidiary, any acquisition of material property by the Company or the Company Subsidiary or the conduct of business by the Company or the Company Subsidiary as currently conducted, (ii) is reasonably likely to have an adverse effect on the Company’s or the Company Subsidiary’s ability to comply with or perform any covenant or obligation under this Agreement, or (iii) is reasonably likely to have the effect of preventing, delaying, making illegal or otherwise interfering with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The Company and the Company Subsidiary hold all required Governmental Authorizations which are material to the operation of the business of the Company and the Company Subsidiary as currently conducted (the “</w:t>
      </w:r>
      <w:r>
        <w:rPr>
          <w:rFonts w:ascii="Times New Roman" w:hAnsi="Times New Roman"/>
          <w:b/>
          <w:i/>
          <w:color w:val="000000"/>
          <w:sz w:val="24"/>
        </w:rPr>
        <w:t>Company Permits</w:t>
      </w:r>
      <w:r>
        <w:rPr>
          <w:rFonts w:ascii="Times New Roman" w:hAnsi="Times New Roman"/>
          <w:color w:val="000000"/>
          <w:sz w:val="24"/>
        </w:rPr>
        <w:t xml:space="preserve">”). </w:t>
      </w:r>
      <w:r>
        <w:rPr>
          <w:rFonts w:ascii="Times New Roman" w:hAnsi="Times New Roman"/>
          <w:color w:val="000000"/>
          <w:sz w:val="24"/>
          <w:u w:val="single"/>
        </w:rPr>
        <w:t>Section 2.14(c)</w:t>
      </w:r>
      <w:r>
        <w:rPr>
          <w:rFonts w:ascii="Times New Roman" w:hAnsi="Times New Roman"/>
          <w:color w:val="000000"/>
          <w:sz w:val="24"/>
        </w:rPr>
        <w:t xml:space="preserve"> of the Company Disclosure Schedule identifies each Company Permit. Each such Company Permit is valid and in full force and effect, and the Company and the Company Subsidiary are in material compliance with the terms of the Company Permits. Neither the Company nor the Company Subsidiary has received written notice of any Legal Proceeding or, to the Knowledge of the Company, has been threatened, which seeks to revoke, limit, suspend, or materially modify any Company Permit. The rights and benefits of each Company Permit will be available to the Surviving Entity, as applicable, immediately after the Second Effective Time on terms substantially identical to those enjoyed by the Company or the Company Subsidiary, as applicable, as of the date of this Agreement and immediately prior to the First Effective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has not been and is not now any Form FDA-483 observation, civil, criminal or administrative action, suit, demand, claim, complaint, hearing, investigation, demand letter, warning letter, untitled letter, notice of violation, seizure, injunction, recall, or proceeding pending or in effect against the Company or the Company Subsidiary or any of their respective officers and employees, and neither the Company nor the Company Subsidiary has any liability for failure to comply with the FDCA, PHSA, or other similar Laws. There is no act, omission, event, fact or circumstance of which the Company has Knowledge that would reasonably be expected to give rise to or form the basis for any civil, criminal or administrative action, suit, demand, claim, complaint, hearing, investigation, demand letter, warning letter, untitled letter, notice of violation, seizure, injunction, recall, Form FDA 483, proceeding or request for information or any liability (whether actual or contingent) for failure to comply with the FDCA, PHSA or other similar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applicable, the Company and the Company Subsidiary have complied in all material respects with the ICH E9 Guidance for Industry: Statistical Principles for Clinical Trials in the management of the clinical data.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rPr>
        <w:t>All clinical, pre-clinical and other studies and tests conducted by or on behalf of, or sponsored by, the Company and the Company Subsidiary, or in which the Company and the Company Subsidiary or their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the Good Clinical Practice (“</w:t>
      </w:r>
      <w:r>
        <w:rPr>
          <w:rFonts w:ascii="Times New Roman" w:hAnsi="Times New Roman"/>
          <w:b/>
          <w:i/>
          <w:color w:val="000000"/>
          <w:sz w:val="24"/>
        </w:rPr>
        <w:t>GCP</w:t>
      </w:r>
      <w:r>
        <w:rPr>
          <w:rFonts w:ascii="Times New Roman" w:hAnsi="Times New Roman"/>
          <w:color w:val="000000"/>
          <w:sz w:val="24"/>
        </w:rPr>
        <w:t>”) regulations under 21 C.F.R. Parts 50, 54, 56 and 312 and Good Laboratory Practice (“</w:t>
      </w:r>
      <w:r>
        <w:rPr>
          <w:rFonts w:ascii="Times New Roman" w:hAnsi="Times New Roman"/>
          <w:b/>
          <w:i/>
          <w:color w:val="000000"/>
          <w:sz w:val="24"/>
        </w:rPr>
        <w:t>GLP</w:t>
      </w:r>
      <w:r>
        <w:rPr>
          <w:rFonts w:ascii="Times New Roman" w:hAnsi="Times New Roman"/>
          <w:color w:val="000000"/>
          <w:sz w:val="24"/>
        </w:rPr>
        <w:t>”) regulations under 21 C.F.R. Part 58. No preclinical study or clinical trial conducted by or on behalf of the Company and Company Subsidiary has been terminated, suspended or placed on clinical hold prior to completion for safety or noncompliance reasons. Since January 1, 2023, the Company and Company Subsidiary have not received any notices, correspondence, or other communications from any Drug Regulatory Agency, institutional review board or ethics committee requiring, or to the Knowledge of the Company, threatening to initiate, the termination, suspension, material modification of, or material pause of any clinical studies conducted by or on behalf of, or sponsored by, the Company or Company Subsidiary or in which the Company or Company Subsidiary or their current products or product candidates have participated. To the Knowledge of the Company, no information, condition or circumstance exists that could reasonably be expected to adversely affect the acceptance, or the subsequent approval, of any filing, application or request for approval by a Drug Regulatory Agency. To the extent required, all clinical trials conducted by or on behalf of Company or Company Subsidiary have been registered on, and trial results have been reported on, the United States National Institutes of Health Website, www.clinicaltrials.gov, in accordance with 42 U.S.C. § 282(j), and are listed in accordance with any applicable additional state and local law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Company Subsidiary is the subject of any pending or, to the Knowledge of the Company, threatened investigation in respect of its business or products or product candidates pursuant to the FDA’s “Fraud, Untrue Statements of Material Facts, Bribery, and Illegal Gratuities” Final Policy set forth in 56 Fed. Reg. 46191 (September 10, 1991) and any amendments thereto. To the Knowledge of the Company, neither the Company nor the Company Subsidiary has committed any acts, made any statement, or failed to make any statement, in each case in respect of its business or products that would violate the FDA’s “Fraud, Untrue Statements of Material Facts, Bribery, and Illegal Gratuities” Final Policy, and any amendments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None of the Company, the Company Subsidiary or any of their respective officers, directors, employees or, to the Knowledge of the Company, agents has been or is: (a) debarred pursuant to Sections 306(a) or (b) of the FDCA (21 U.S.C. § 335a), as amended from time to time; (b) disqualified from participating in clinical trials pursuant to 21 C.F.R. § 312.70, as amended from time to time; (c) disqualified as a testing facility under 21 C.F.R. Part 58, Subpart K, as amended from time to time; (d) excluded, debarred or suspended from or otherwise ineligible to participate in a “Federal Health Care Program” as that term is defined in 42 U.S.C. § 1320a-7b(f), including under 42 U.S.C. § 1320a-7 or relevant regulations in 42 C.F.R. Part 1001; (e) assessed or threatened with assessment of civil money penalties pursuant to 42 C.F.R. Part 1003; (f) included on the HHS/OIG List of Excluded Individuals/Entities, the General Services Administration’s System for Award Management, or the FDA Debarment List or the FDA Disqualified/Restricted List; or (g) has been convicted of a criminal offense that is grounds for any such suspension, debarment or exclusion. Neither the Company, the Company Subsidiary nor to the Knowledge of the Company any of their respective officers, directors, employees or agents has engaged in any activities that are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prohibited, or are cause for civil penalties, or grounds for mandatory or permissive exclusion, disqualification, debarment, or suspension pursuant to any of these authorities. Each of the Company and the Company Subsidiary is not using, and has never used, in any capacity any Person that has ever been, or to the Knowledge of Company, is the subject of a proceeding that could lead to the Persons becoming debarred, excluded, disqualified, restricted or suspended pursuant to any of these authorities.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Company’s and Company Subsidiary’s product candidates are and have been formulated, manufactured, processed, produced, stored, tested, and packed in compliance in all material respects with all applicable provisions of the FDCA, and, if applicable, the current Good Manufacturing Practice regulations set forth at 21 C.F.R. Parts 210 and 211 and all relevant FDA and other Drug Regulatory Agency Laws and guidance related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sz w:val="24"/>
        </w:rPr>
      </w:pPr>
      <w:r>
        <w:rPr>
          <w:rFonts w:ascii="Times New Roman" w:hAnsi="Times New Roman"/>
          <w:color w:val="000000"/>
          <w:sz w:val="24"/>
        </w:rPr>
        <w:t>Each of the Company and the Company Subsidiary is not a Covered Entity or Business Associate as those terms are defined under the Health Insurance Portability and Accountability Act of 1996 and its implementing regulations promulgated thereunder, all as amended from time to time (collectively “</w:t>
      </w:r>
      <w:r>
        <w:rPr>
          <w:rFonts w:ascii="Times New Roman" w:hAnsi="Times New Roman"/>
          <w:b/>
          <w:i/>
          <w:color w:val="000000"/>
          <w:sz w:val="24"/>
        </w:rPr>
        <w:t>HIPAA</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Legal Proceedings; Orders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of this Agreement, there is no material pending Legal Proceeding and, to the Knowledge of the Company, no Person has threatened in writing to commence any Legal Proceeding: (i) that involves (A) the Company, (B) the Company Subsidiary, (C) any Company Associate (in his or her capacity as such) or (D) any of the material assets owned or used by the Company or the Company Subsidiary, as applicable; or (ii) that challenges, or that would have the effect of preventing, delaying, making illegal or otherwise interfering with,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w:t>
      </w:r>
      <w:r>
        <w:rPr>
          <w:rFonts w:ascii="Times New Roman" w:hAnsi="Times New Roman"/>
          <w:color w:val="000000"/>
          <w:sz w:val="24"/>
          <w:u w:val="single"/>
        </w:rPr>
        <w:t>Section 2.15(b)</w:t>
      </w:r>
      <w:r>
        <w:rPr>
          <w:rFonts w:ascii="Times New Roman" w:hAnsi="Times New Roman"/>
          <w:color w:val="000000"/>
          <w:sz w:val="24"/>
        </w:rPr>
        <w:t xml:space="preserve"> of the Company Disclosure Schedule, since January 1, 2023, through the date of this Agreement, no Legal Proceeding has been pending against the Company or the Company Subsidiary, as applicable, that resulted in material liability to the Company and the Company Subsidiary,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no order, writ, injunction, judgment or decree to which the Company or the Company Subsidiary, as applicable, or any of the material assets owned or used by the Company or the Company Subsidiary, as applicable, is subject. To the Knowledge of the Company, no officer or employees of the Company is subject to any order, writ, injunction, judgment or decree that prohibits such officer or employee from engaging in or continuing any conduct, activity or practice relating to the business of the Company or the Company Subsidiary, or to any material assets owned or used by the Company or the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Tax Matters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and the Company Subsidiary have timely filed all income and other material Tax Returns that were required to be filed by them under applicable Law. All such Tax Returns are correct and complete in all material respects and have been prepared in material compliance with all applicable Law. No written claim has ever been made by any Governmental Body in any jurisdiction where the Company or the Company Subsidiary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does not file a particular Tax Return or pay a particular Tax that the Company or the Company Subsidiary is subject to taxation by that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income and other material Taxes due and owing by the Company and the Company Subsidiary on or before the date hereof (whether or not shown on any Tax Return) have been fully and timely paid. The unpaid Taxes of the Company and the Company Subsidiary did not, as of the date of the Company Unaudited Interim Balance Sheet, materially exceed the reserve for Tax liability (excluding any reserve for deferred Taxes established to reflect timing differences between book and Tax items) set forth on the face of the Company Unaudited Interim Balance Sheet.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Taxes that the Company and the Company Subsidiary are or were required by Law to withhold or collect have been duly and timely withheld or collected in all material respects on behalf of their respective employees, independent contractors, stockholders, lenders, customers or other third parties and in all material respects have been timely paid to the proper Governmental Body or other Person or properly set aside in accounts for this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Encumbrances for material Taxes (other than Permitted Encumbrances) upon any of the assets of the Company or the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deficiencies for a material amount of Taxes of the Company or the Company Subsidiary have been claimed, proposed or assessed by any Governmental Body in writing that have not been fully resolved. There are no pending or ongoing and, to the Knowledge of the Company, no threatened audits, assessments or other similar actions by any Governmental Body for or relating to any liability in respect of a material amount of Taxes of the Company or the Company Subsidiary. Neither the Company nor the Company Subsidiary has waived any statute of limitations or agreed to any extension of time with respect to any income or other material Tax assessment or deficiency (in each case, excluding automatic extensions of time within which to file a Tax Return).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Company Subsidiary has been a United States real property holding corporation within the meaning of Section 897(c)(2) of the Code during the applicable period specified in Section 897(c)(1)(A)(ii)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Company Subsidiary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None of the Company, the Company Subsidiary or the Surviving Entity (in each case, attributable or with respect to the Company or the Company Subsidiary) will be required to include any material item of income in, or exclude any material item of deduction from, taxable income for any Tax period (or portion thereof) beginning after the Closing Date as a result of any: (i) change in method of accounting for Tax purposes made prior to the Closing for a Tax period ending on or prior to the Closing Date; (ii) use of an improper method of accounting prior to the Closing for a Tax period ending on or prior to the Closing Date; (iii) “closing agreement” as described in Section 7121 of the Code (or any similar provision of state, local or foreign Law) executed at or prior to the Closing; (iv) intercompany transaction or excess loss account described in Treasury Regulations under Section 1502 of the Code (or any similar provision of state, local or foreign Law) entered into or existing,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respectively, at or prior to the Closing; (v) installment sale or open transaction disposition made at or prior to the Closing; or (vi) prepaid amount, advance payment or deferred revenue received or accrued outside the Ordinary Course of Business at or prior to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Company Subsidiary has ever been (i) a member of a consolidated, combined or unitary Tax group (other than such a group the common parent of which is the Company or the Company Subsidiary) or (ii) a party to any joint venture, partnership, or other arrangement that is treated as a partnership for U.S. federal income Tax purposes. Neither the Company nor the Company Subsidiary has any Liability for any material Taxes of any Person (other than the Company or the Company Subsidiary) under Treasury Regulations Section 1.1502-6 (or any similar provision of state, local, or foreign Law), as a transferee or successor, by Contract (other than a Contract entered into in the Ordinary Course of Business the principal subject matter of which is not Taxes) or otherwise by operation of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the past two (2) years, neither the Company nor the Company Subsidiary has distributed stock of another Person, or had its stock distributed by another Person, in a transaction that was purported or intended to be governed in whole or in part by Section 355 of the Code or Section 361 of the Code (or any similar provisions of state, local or foreign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Company Subsidiary has had a permanent establishment or a fixed place of business, in each case within the meaning of an applicable Tax treaty, in a country other than the country in which it is organized.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Company Subsidiary has participated in or been a party to a transaction that, as of the date of this Agreement, constitutes a “listed transaction” within the meaning of Section 6707A(c)(2) of the Code and Treasury Regulations Section 1.6011-4(b)(2).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Company and the Company Subsidiary is treated as a C corporation for U.S. federal income tax purposes. Neither the Company nor the Company Subsidiary has made an election or taken any other action to change its U.S. federal and state income tax classification from such classification.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the Company nor the Company Subsidiary has taken any action (or agreed to take any action) or knows of any fact that would reasonably be expected to prevent or impede the Merger from qualifying for the Intended Tax Treatment.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 purposes of this </w:t>
      </w:r>
      <w:r>
        <w:rPr>
          <w:rFonts w:ascii="Times New Roman" w:hAnsi="Times New Roman"/>
          <w:color w:val="000000"/>
          <w:sz w:val="24"/>
          <w:u w:val="single"/>
        </w:rPr>
        <w:t>Section 2.16,</w:t>
      </w:r>
      <w:r>
        <w:rPr>
          <w:rFonts w:ascii="Times New Roman" w:hAnsi="Times New Roman"/>
          <w:color w:val="000000"/>
          <w:sz w:val="24"/>
        </w:rPr>
        <w:t xml:space="preserve"> each reference to the Company or the Company Subsidiary shall be deemed to include any Person that was liquidated into, merged with, or is otherwise a predecessor to, the Company or the Company Subsidiary,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Employee and Labor Matters; Benefit Plans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2.17(a)</w:t>
      </w:r>
      <w:r>
        <w:rPr>
          <w:rFonts w:ascii="Times New Roman" w:hAnsi="Times New Roman"/>
          <w:color w:val="000000"/>
          <w:sz w:val="24"/>
        </w:rPr>
        <w:t xml:space="preserve"> of the Company Disclosure Schedule is a list of all material Company Benefit Plans (which, for the avoidance of doubt, excludes (i) at-will employment offer letters on the Company’s standard form and (ii) individual Company Option or other compensatory equity award agreements made pursuant to the Company’s standard forms previously provided to Parent, provided that the representative standard forms of such agreements shall be scheduled). “</w:t>
      </w:r>
      <w:r>
        <w:rPr>
          <w:rFonts w:ascii="Times New Roman" w:hAnsi="Times New Roman"/>
          <w:b/>
          <w:i/>
          <w:color w:val="000000"/>
          <w:sz w:val="24"/>
        </w:rPr>
        <w:t>Company Benefit Plan</w:t>
      </w:r>
      <w:r>
        <w:rPr>
          <w:rFonts w:ascii="Times New Roman" w:hAnsi="Times New Roman"/>
          <w:color w:val="000000"/>
          <w:sz w:val="24"/>
        </w:rPr>
        <w:t xml:space="preserve">” means each “employee benefit plan”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defined in Section 3(3) of ERISA) and each other pension, retirement, deferred compensation, profit-sharing, bonus, incentive, equity or equity-based, phantom equity, employment, consulting, severance, change-of-control, retention, health, life, disability, group insurance, paid time off, reimbursement, holiday, welfare, fringe benefit or similar plan, program, policy, agreement, Contract, or arrangement (whether written or unwritten, qualified or nonqualified, funded or unfunded, subject or not subject to ERISA and including any that have been frozen), in each case, (i) sponsored, maintained, administered, contributed to, or required to be contributed to, by the Company or Company Subsidiary, (ii) to which the Company or Company Subsidiary is a party, or (iii) under which the Company or Company Subsidiary has any actual or contingent liability (including, without limitation, by reason of having a Company ERISA Affiliate).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As applicable with respect to each material Company Benefit Plan, the Company has made available to Parent, true and complete copies of (i) each such material Company Benefit Plan, including all amendments thereto, and in the case of any such material Company Benefit Plan that is unwritten, a written description thereof, (ii) all current trust documents, and insurance and annuity Contracts relating thereto, (iii) the current summary plan description and each summary of material modifications thereto, (iv) the most recently filed annual reports with any Governmental Body </w:t>
      </w:r>
      <w:r>
        <w:rPr>
          <w:rFonts w:ascii="Times New Roman" w:hAnsi="Times New Roman"/>
          <w:i/>
          <w:color w:val="000000"/>
          <w:sz w:val="24"/>
        </w:rPr>
        <w:t xml:space="preserve">(e.g., </w:t>
      </w:r>
      <w:r>
        <w:rPr>
          <w:rFonts w:ascii="Times New Roman" w:hAnsi="Times New Roman"/>
          <w:color w:val="000000"/>
          <w:sz w:val="24"/>
        </w:rPr>
        <w:t>Form 5500 and all schedules thereto), (v) the most recent IRS determination, opinion or advisory letter, (vi) the most recent summary annual reports, annual testing reports (including nondiscrimination and coverage testing), actuarial reports, financial statements and trustee reports, and (vii) all notices and filings from the IRS or Department of Labor or other Governmental Body concerning audits or investigations, or “prohibited transactions” within the meaning of Section 406 of ERISA or Section 4975 of the Code, or other material non-routine correspondence.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Benefit Plan has been maintained, operated and administered in compliance in all material respects with its terms and the applicable provisions of ERISA, the Code and all other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Benefit Plans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the Knowledge of the Company, nothing has occurred that would reasonably be expected to materially adversely affect the qualification of such Company Benefit Plan or the tax exempt status of the related trust.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any Company ERISA Affiliate has at any time in the last six (6) years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pending audits or investigations by any Governmental Body involving any Company Benefit Plan, and no pending or, to the Knowledge of the Company, threatened claims (except for routine individual claims for benefits payable in the normal operation of the Company Benefit Plans), suits or proceedings involving any Company Benefit Plan, or, to the Knowledge of the Company, any fiduciary thereof or service provider thereto, in any case except as would not be reasonably expected to result in material liability to the Company and the Company Subsidiary, taken as a whole. All contributions and premium payments required to have been made under any of the Company Benefit Plans or by applicable Law (without regard to any waivers granted under Section 412 of the Code), have been timely made in all material respects and the Company and the Company Subsidiary have no material liability for any unpaid contributions with respect to any Company Benefit Plan. Neither the Company, the Company Subsidiary nor any Company Benefit Plan has any material liability for, nor is reasonably expected to have any material liability for, any excise tax or penalty under ERISA or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Company, the Company Subsidiary, any Company ERISA Affiliate or, to the Knowledge of the Company, any fiduciary, trustee or administrator of any Company Benefit Plan, has engaged in, or in connection with the Contemplated Transactions will engage in, any transaction with respect to any such Company Benefit Plan which would subject any such Company Benefit Plan, the Company, or the Company Subsidiary to a material Tax, material penalty or material liability for a “prohibited transaction” under Section 406 of ERISA or Section 4975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Company Benefit Plan provides death, medical, dental, vision, life insurance, disability or other welfare benefits beyond termination of service or retirement other than coverage mandated by Law and, to the Knowledge of the Company, the Company or the Company Subsidiary has not made a written representation promising the same. The Company and the Company Subsidiary have complied in all material respects with the applicable provisions of the Patient Protection and Affordable Care Act of 2010, as amended, and the Health Care and Education Reconciliation Act of 2010,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Company Benefit Plan that is a “nonqualified deferred compensation plan” within the meaning of Section 409A of the Code to which the Company or the Company Subsidiary is a party has been administered and operated in documentary and operational compliance with the provisions of Section 409A of the Code and the Treasury Regulations thereunder, and no additional tax under Section 409A(a)(1)(B) of the Code has been or could reasonably be expected to be incurred by a participant in any such Company Benefit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w:t>
      </w:r>
      <w:r>
        <w:rPr>
          <w:rFonts w:ascii="Times New Roman" w:hAnsi="Times New Roman"/>
          <w:color w:val="000000"/>
          <w:sz w:val="24"/>
          <w:u w:val="single"/>
        </w:rPr>
        <w:t>Section 2.17(j)</w:t>
      </w:r>
      <w:r>
        <w:rPr>
          <w:rFonts w:ascii="Times New Roman" w:hAnsi="Times New Roman"/>
          <w:color w:val="000000"/>
          <w:sz w:val="24"/>
        </w:rPr>
        <w:t xml:space="preserve"> of the Company Disclosure Schedule, neither the execution of this Agreement, nor the performance of the Contemplated Transactions (either alone or when combined with the occurrence of any other event, including without limitation, a termination of employment), could reasonably be expected to: (i) result in any payment becoming due to any current or former employee, director, officer, or independent contractor of the Company or the Company Subsidiary, (ii) increase any amount of compensation or benefits otherwise payable under any Company Benefit Plan, (iii) result in the acceleration of the time of payment, funding or vesting of any benefits under any Company Benefit Plan, (iv) require any contribution or payment to fund any obligation under any Company Benefit Plan or (v) limit the right to merge, amend or terminate any Company Benefit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Section 280G of the Code) with respect to the Company and the Company Subsidiary of any payment or benefit that is or could be characterized as a “parachute payment” (within the meaning of Section 280G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current or former employee, officer, director or independent contractor of the Company or the Company Subsidiary has any “gross up” agreements with the Company or the Company Subsidiary or other assurance of reimbursement by the Company or the Company Subsidiary for any Taxes imposed under Section 409A of the Code or Section 4999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or the Company Subsidiary does not maintain any Company Benefit Plan for the benefit of any service providers located outside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has provided to Parent a true and correct list, as of the date of this Agreement, containing the names of all current Company Associates (including any individuals to whom an offer has been extended, but have not yet commenced employment or service, but excluding independent contractors, advisors, and consultants that individually provide on average less than approximately ten (10) hours of services per month) of the Company and the Company Subsidiary, and, as applicable: (i) base salary or hourly rate, consulting fee, contractor rate, or other terms of compensation; (ii) target amount of any bonus, commission, or incentive compensation, and a listing of any as yet unpaid amounts; (iii) hire date or initial contract date; (iv) employing or contracting entity; (v) full-time, part-time or temporary status; (vi) title and, with respect to independent contractors, a current written description of such person’s contracting services; (vii) visa status, if applicable; (viii) with respect to employees, (A) a designation of whether they are classified as exempt or non-exempt for purposes of the federal Fair Labor Standards Act and any similar state, federal or ex-U.S. law and (B) whether such an employee is on leave, and if so, the expected return date; and (ix) a schedule of any severance, termination payment, notice pay, retention benefits, change in control payments, or other similar compensation or benefits such person may be eligible to receive from the Company or the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or the Company Subsidiary is not and has never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the Company, purporting to represent or seeking to represent any employees of the Company or the Company Subsidiary, including through the filing of a petition for representation election. There is not and has never been, nor, to the Knowledge of the Company, is there or has there ever been any threat of, any strike, slowdown, work stoppage, lockout, union election petition, demand for recognition, union organizing activity, or any similar activity or dispute affecting the Company or the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and the Company Subsidiary, since January 1, 2023 has been, in material compliance with all applicable Laws respecting labor, employment, employment practices, and terms and conditions of employment, including worker classification, contractor classification, discrimination, harassment and retaliation, equal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the Company and the Company Subsidiary, taken as a whole, the Company and the Company Subsidiary has withheld and reported all amounts required by Law to be withheld and reported with respect to wages, salaries and other payments, benefits, or compensation to its employees, consultants, and independent contractors. There is no Legal Proceeding pending or, to the Knowledge of the Company, threatened or reasonably anticipated against the Company or the Company Subsidiary relating to any current or former employee, applicant for employment, independent contractor, or consultant of the Company or the Company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the Company Subsidiary have complied in all material respects with the WARN Act and no action that could trigger the WARN Act will be implemented before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Environmental Matters</w:t>
      </w:r>
      <w:r>
        <w:rPr>
          <w:rFonts w:ascii="Times New Roman" w:hAnsi="Times New Roman"/>
          <w:b/>
          <w:color w:val="000000"/>
          <w:sz w:val="24"/>
        </w:rPr>
        <w:t>.</w:t>
      </w:r>
      <w:r>
        <w:rPr>
          <w:color w:val="000000"/>
        </w:rPr>
        <w:t xml:space="preserve"> </w:t>
      </w:r>
      <w:r>
        <w:rPr>
          <w:rFonts w:ascii="Times New Roman" w:hAnsi="Times New Roman"/>
          <w:color w:val="000000"/>
          <w:sz w:val="24"/>
        </w:rPr>
        <w:t>Each of the Company and the Company Subsidiary, as applicable is and since January 1, 2023 has complied with all applicable Environmental Laws, which compliance includes the possession by the Company and the Company Subsidiary, as applicable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Neither the Company nor the Company Subsidiary, as applicable has received since January 1, 2023 (or prior to that time, which is pending and unresolved) any written notice or other communication (in writing or otherwise), whether from a Governmental Body or other Person, that alleges that the Company or the Company Subsidiary, as applicable, is not in compliance with or has liability pursuant to any Environmental Law and, to the Knowledge of the Company, there are no circumstances that would reasonably be expected to prevent or interfere with the Company’s or the Company Subsidiary’s compliance in any material respects with any Environmental Law, except where such failure to comply would not reasonably be expected to be material to the Company and the Company Subsidiary, taken as a whole, or their business. No current or (during the time a prior property was leased or controlled by the Company or the Company Subsidiary, as applicable) prior property leased or controlled by the Company or the Company Subsidiary, as applicable has had a release of or exposure to Hazardous Materials in material violation of or as would reasonably be expected to result in any material liability of the Company and the Company Subsidiary, taken as a whole, pursuant to Environmental Law. No consent, approval or Governmental Authorization of or registration or filing with any Governmental Body is required by Environmental Laws in connection with the execution and delivery of this Agreement or consummation of the Contemplated Transactions by the Company and the Company Subsidiary, as applicable. Prior to the date hereof, the Company has provided or otherwise made available to Parent true and correct copies of all material environmental reports, assessments, studies and audits in the possession or control of the Company or the Company Subsidiary, as applicable, with respect to any property leased or controlled by the Company, the Company Subsidiary or any business operated by them.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Insurance</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The Company has delivered or made available to Parent accurate and complete copies of all material insurance policies and all material self-insurance programs and arrangements relating to the business, assets, liabilities and operations of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and the Company Subsidiary, as applicable. Each of such insurance policies is in full force and effect and each of the Company and the Company Subsidiary, as applicable, is in compliance in all material respects with the terms thereof. Other than customary end of policy notifications from insurance carriers, since January 1, 2023, neither the Company nor the Company Subsidiary, as applicable has received any written notice or other written communication regarding any actual or possible: (a) cancellation or invalidation of any insurance policy; or (b) refusal or denial of any coverage, reservation of rights or rejection of any material claim under any insurance policy. Each of the Company and the Company Subsidiary, as applicable has provided timely written notice to the appropriate insurance carrier(s) of each Legal Proceeding that is currently pending against the Company or the Company Subsidiary, as applicable, for which the Company or the Company Subsidiary, as applicable, has insurance coverage, and no such carrier has issued a denial of coverage or a reservation of rights with respect to any such Legal Proceeding, or informed the Company or the Company Subsidiary, as applicable, of its intent to do so.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No Financial Advisors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Except as set forth in </w:t>
      </w:r>
      <w:r>
        <w:rPr>
          <w:rFonts w:ascii="Times New Roman" w:hAnsi="Times New Roman"/>
          <w:color w:val="000000"/>
          <w:sz w:val="24"/>
          <w:u w:val="single"/>
        </w:rPr>
        <w:t>Section 2.20</w:t>
      </w:r>
      <w:r>
        <w:rPr>
          <w:color w:val="000000"/>
        </w:rPr>
        <w:t xml:space="preserve"> </w:t>
      </w:r>
      <w:r>
        <w:rPr>
          <w:rFonts w:ascii="Times New Roman" w:hAnsi="Times New Roman"/>
          <w:color w:val="000000"/>
          <w:sz w:val="24"/>
        </w:rPr>
        <w:t>of the Company Disclosure Schedule, no broker, finder or investment banker is entitled to any tail fee, brokerage fee, finder’s fee, opinion fee, success fee, transaction fee or other fee or commission in connection with the Contemplated Transactions based upon arrangements made by or on behalf of the Company or the Company Subsidiary.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Transactions with Affiliates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2.21(a)</w:t>
      </w:r>
      <w:r>
        <w:rPr>
          <w:rFonts w:ascii="Times New Roman" w:hAnsi="Times New Roman"/>
          <w:color w:val="000000"/>
          <w:sz w:val="24"/>
        </w:rPr>
        <w:t xml:space="preserve"> of the Company Disclosure Schedule describes any material transactions or relationships, since December 31, 2024, between, on one hand, the Company or the Company Subsidiary and, on the other hand, any (i) officer or director of the Company or the Company Subsidiary or, to the Knowledge of the Company, any of such officer’s or director’s immediate family members, (ii) owner of more than 5% of the voting power of the outstanding Company Capital Stock or (iii) to the Knowledge of the Company, any “related person” (within the meaning of Item 404 of Regulation S-K under the Securities Act) of any such officer, director or owner (other than the Company or the Company Subsidiary) in the case of each of (i), (ii) or (iii) that is of the type that would be required to be disclosed under Item 404 of Regulation S-K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2.21(a)</w:t>
      </w:r>
      <w:r>
        <w:rPr>
          <w:rFonts w:ascii="Times New Roman" w:hAnsi="Times New Roman"/>
          <w:color w:val="000000"/>
          <w:sz w:val="24"/>
        </w:rPr>
        <w:t xml:space="preserve"> of the Company Disclosure Schedule lists each stockholders’ agreement (other than stock purchase agreements or other instrument issuing shares of Company Capital Stock to such holder), voting agreement, registration rights agreement, co-sale agreement or other similar Contract between the Company, the Company Subsidiary and any holders of Company Capital Stock, including any such Contract granting any Person investor rights, rights of first refusal, rights of first offer, registration rights, director designation rights or similar rights (collectively, the “</w:t>
      </w:r>
      <w:r>
        <w:rPr>
          <w:rFonts w:ascii="Times New Roman" w:hAnsi="Times New Roman"/>
          <w:b/>
          <w:i/>
          <w:color w:val="000000"/>
          <w:sz w:val="24"/>
        </w:rPr>
        <w:t>Investor Agreements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Anti-Bribery</w:t>
      </w:r>
      <w:r>
        <w:rPr>
          <w:rFonts w:ascii="Times New Roman" w:hAnsi="Times New Roman"/>
          <w:b/>
          <w:color w:val="000000"/>
          <w:sz w:val="24"/>
        </w:rPr>
        <w:t>.</w:t>
      </w:r>
      <w:r>
        <w:rPr>
          <w:color w:val="000000"/>
        </w:rPr>
        <w:t xml:space="preserve"> </w:t>
      </w:r>
      <w:r>
        <w:rPr>
          <w:rFonts w:ascii="Times New Roman" w:hAnsi="Times New Roman"/>
          <w:color w:val="000000"/>
          <w:sz w:val="24"/>
        </w:rPr>
        <w:t>In the last five years, none of the Company, the Company Subsidiary nor any of their respective directors, officers, employees or, to the Company’s Knowledge, agents or any other Person acting on their behalf (each in their respective capacities as such), has directly or indirectly paid, provided, offered, made, or authorized the provision of any bribes, improper rebates, payoffs, influence payments, kickbacks, illegal payments, illegal political contributions, or other payments, or anything of value, in the form of cash, gifts, or otherwise, or taken any other action, in violation of the Foreign Corrupt Practices Act of 1977, as amended, the UK Bribery Act of 2010 or any other applicable anti-bribery or anti-corruption Law (collectively, the “</w:t>
      </w:r>
      <w:r>
        <w:rPr>
          <w:rFonts w:ascii="Times New Roman" w:hAnsi="Times New Roman"/>
          <w:b/>
          <w:i/>
          <w:color w:val="000000"/>
          <w:sz w:val="24"/>
        </w:rPr>
        <w:t>Anti-Bribery Laws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 xml:space="preserve">None of the Company,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Subsidiary nor any of their respective directors, officers, employees, or, to the Company’s Knowledge, agents or any other Person acting on their behalf (each in their respective capacities as such) has, in the last five years, taken any action in violation of Anti-Bribery Laws. The Company and the Company Subsidiary are not, nor in the last five years have they been, the subject of any investigation, prosecution, inquiry, or enforcement action by, or made any voluntary disclosures to any Governmental Body with respect to potential violations of Anti-Bribery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Accredited Investor</w:t>
      </w:r>
      <w:r>
        <w:rPr>
          <w:rFonts w:ascii="Times New Roman" w:hAnsi="Times New Roman"/>
          <w:b/>
          <w:color w:val="000000"/>
          <w:sz w:val="24"/>
        </w:rPr>
        <w:t>.</w:t>
      </w:r>
      <w:r>
        <w:rPr>
          <w:color w:val="000000"/>
        </w:rPr>
        <w:t xml:space="preserve"> </w:t>
      </w:r>
      <w:r>
        <w:rPr>
          <w:rFonts w:ascii="Times New Roman" w:hAnsi="Times New Roman"/>
          <w:color w:val="000000"/>
          <w:sz w:val="24"/>
        </w:rPr>
        <w:t>The number of stockholders of the Company who have not executed an investor questionnaire certifying that such stockholder of the Company is an “accredited investor” pursuant to Regulation D under the Securities Act is less than thirty-five (35) stockholders, and any such stockholder either alone or with such stockholder’s purchaser representative(s) has such knowledge and experience in financial and business matters that such stockholder is capable of evaluating the merits and risks of the Merger.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Export Control and Sanctions Compliance</w:t>
      </w:r>
      <w:r>
        <w:rPr>
          <w:rFonts w:ascii="Times New Roman" w:hAnsi="Times New Roman"/>
          <w:b/>
          <w:color w:val="000000"/>
          <w:sz w:val="24"/>
        </w:rPr>
        <w:t>.</w:t>
      </w:r>
      <w:r>
        <w:rPr>
          <w:color w:val="000000"/>
        </w:rPr>
        <w:t xml:space="preserve"> </w:t>
      </w:r>
      <w:r>
        <w:rPr>
          <w:rFonts w:ascii="Times New Roman" w:hAnsi="Times New Roman"/>
          <w:color w:val="000000"/>
          <w:sz w:val="24"/>
        </w:rPr>
        <w:t>Each of the Company and the Company Subsidiary has conducted its business in compliance with U.S. export and re-export controls, sanctions, and anti-boycott laws and regulations, including the Export Administration Act and Regulations, the Foreign Assets Control Regulations, the International Traffic in Arms Regulations, other controls administered by the United States Department of Commerce or the United States Department of State, the regulations administered by the Office of Foreign Assets Control of the U.S. Department of the Treasury (“</w:t>
      </w:r>
      <w:r>
        <w:rPr>
          <w:rFonts w:ascii="Times New Roman" w:hAnsi="Times New Roman"/>
          <w:b/>
          <w:i/>
          <w:color w:val="000000"/>
          <w:sz w:val="24"/>
        </w:rPr>
        <w:t>OFAC</w:t>
      </w:r>
      <w:r>
        <w:rPr>
          <w:color w:val="000000"/>
        </w:rPr>
        <w:t>”</w:t>
      </w:r>
      <w:r>
        <w:rPr>
          <w:rFonts w:ascii="Times New Roman" w:hAnsi="Times New Roman"/>
          <w:color w:val="000000"/>
          <w:sz w:val="24"/>
        </w:rPr>
        <w:t>), and all other applicable import/export controls and sanctions laws and regulations in other countries in which the Company conducts business (collectively, “</w:t>
      </w:r>
      <w:r>
        <w:rPr>
          <w:rFonts w:ascii="Times New Roman" w:hAnsi="Times New Roman"/>
          <w:b/>
          <w:i/>
          <w:color w:val="000000"/>
          <w:sz w:val="24"/>
        </w:rPr>
        <w:t>Trade Laws</w:t>
      </w:r>
      <w:r>
        <w:rPr>
          <w:color w:val="000000"/>
        </w:rPr>
        <w:t>”</w:t>
      </w:r>
      <w:r>
        <w:rPr>
          <w:rFonts w:ascii="Times New Roman" w:hAnsi="Times New Roman"/>
          <w:color w:val="000000"/>
          <w:sz w:val="24"/>
        </w:rPr>
        <w:t>). Since April 24, 2019, the Company and the Company Subsidiary have not engaged in any direct or indirect transactions or dealings with (a) any country or territory that is, or has been, subject to a U.S. Government embargo (including, Cuba, Iran, North Korea, Syria (prior to July 1, 2025), and the Crimea, so-called Donetsk People’s Republic, and so-called Luhansk People’s Republic) (collectively, the “</w:t>
      </w:r>
      <w:r>
        <w:rPr>
          <w:rFonts w:ascii="Times New Roman" w:hAnsi="Times New Roman"/>
          <w:b/>
          <w:i/>
          <w:color w:val="000000"/>
          <w:sz w:val="24"/>
        </w:rPr>
        <w:t>Embargoed Countries</w:t>
      </w:r>
      <w:r>
        <w:rPr>
          <w:color w:val="000000"/>
        </w:rPr>
        <w:t>”</w:t>
      </w:r>
      <w:r>
        <w:rPr>
          <w:rFonts w:ascii="Times New Roman" w:hAnsi="Times New Roman"/>
          <w:color w:val="000000"/>
          <w:sz w:val="24"/>
        </w:rPr>
        <w:t>); (b) any instrumentality, agent, entity, or individual that is located in, or acting on behalf of, or directly or indirectly owned or controlled by any Governmental Body of, any Embargoed Country; and (c) any individual or entity identified on, or 50% or more owned (individually or in the aggregate) or otherwise controlled by persons identified on, any list of designated and prohibited parties maintained by the U.S. Government, the United Kingdom, or the European Union, including, but not limited to, the List of Specially Designated Nationals and Blocked Persons, the Foreign Sanctions Evaders List, or the Sectoral Sanctions Identifications List, which are maintained by OFAC, or the Entity List, Denied Persons List, or Unverified List, which are maintained by the Bureau of Industry and Security of the U.S. Commerce Department (a “</w:t>
      </w:r>
      <w:r>
        <w:rPr>
          <w:rFonts w:ascii="Times New Roman" w:hAnsi="Times New Roman"/>
          <w:b/>
          <w:i/>
          <w:color w:val="000000"/>
          <w:sz w:val="24"/>
        </w:rPr>
        <w:t>Sanctioned Party</w:t>
      </w:r>
      <w:r>
        <w:rPr>
          <w:color w:val="000000"/>
        </w:rPr>
        <w:t>”</w:t>
      </w:r>
      <w:r>
        <w:rPr>
          <w:rFonts w:ascii="Times New Roman" w:hAnsi="Times New Roman"/>
          <w:color w:val="000000"/>
          <w:sz w:val="24"/>
        </w:rPr>
        <w:t>). To the Knowledge of the Company, the Company and the Company Subsidiary are not, nor have they since April 24, 2019 been, the subject of any investigation, prosecution, inquiry, or enforcement action by, or made any voluntary disclosures to, any Governmental Body with respect to potential violations of Trade Laws.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Disclaimer of Other Representations or Warranties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this </w:t>
      </w:r>
      <w:r>
        <w:rPr>
          <w:rFonts w:ascii="Times New Roman" w:hAnsi="Times New Roman"/>
          <w:color w:val="000000"/>
          <w:sz w:val="24"/>
          <w:u w:val="single"/>
        </w:rPr>
        <w:t>Section 2</w:t>
      </w:r>
      <w:r>
        <w:rPr>
          <w:rFonts w:ascii="Times New Roman" w:hAnsi="Times New Roman"/>
          <w:color w:val="000000"/>
          <w:sz w:val="24"/>
        </w:rPr>
        <w:t xml:space="preserve"> or in any certificate delivered by the Company to Parent and/or Merger Subs pursuant to this Agreement, the Company makes no representation or warranty, express or implied, at law or in equity, with respect to it, the Company Subsidiary or any of their respective assets, liabilities or operations, and any such other representations or warranties are hereby expressly disclaimed.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Company acknowledges and agrees that, except for the representations and warranties of Parent and Merger Subs set forth in </w:t>
      </w:r>
      <w:r>
        <w:rPr>
          <w:rFonts w:ascii="Times New Roman" w:hAnsi="Times New Roman"/>
          <w:color w:val="000000"/>
          <w:sz w:val="24"/>
          <w:u w:val="single"/>
        </w:rPr>
        <w:t>Section 3</w:t>
      </w:r>
      <w:r>
        <w:rPr>
          <w:rFonts w:ascii="Times New Roman" w:hAnsi="Times New Roman"/>
          <w:color w:val="000000"/>
          <w:sz w:val="24"/>
        </w:rPr>
        <w:t xml:space="preserve"> or in any certificate delivered by Parent and/or Merger Subs to the Company pursuant to this Agreement, none of the Company or any of its Representatives is relying on any other representation or warranty of Parent or any other Person made outside of </w:t>
      </w:r>
      <w:r>
        <w:rPr>
          <w:rFonts w:ascii="Times New Roman" w:hAnsi="Times New Roman"/>
          <w:color w:val="000000"/>
          <w:sz w:val="24"/>
          <w:u w:val="single"/>
        </w:rPr>
        <w:t>Section 3</w:t>
      </w:r>
      <w:r>
        <w:rPr>
          <w:rFonts w:ascii="Times New Roman" w:hAnsi="Times New Roman"/>
          <w:color w:val="000000"/>
          <w:sz w:val="24"/>
        </w:rPr>
        <w:t xml:space="preserve"> or such certificate, including regarding the accuracy or completeness of any such other representations or warranties or the omission of any material information, whether express or implied, in each case, with respect to the Contemplated Transactions.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Section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Representations and Warranties of Parent and Merger Subs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4"/>
        </w:rPr>
      </w:pPr>
      <w:r>
        <w:rPr>
          <w:rFonts w:ascii="Times New Roman" w:hAnsi="Times New Roman"/>
          <w:color w:val="000000"/>
          <w:sz w:val="24"/>
        </w:rPr>
        <w:t xml:space="preserve">Subject to </w:t>
      </w:r>
      <w:r>
        <w:rPr>
          <w:rFonts w:ascii="Times New Roman" w:hAnsi="Times New Roman"/>
          <w:color w:val="000000"/>
          <w:sz w:val="24"/>
          <w:u w:val="single"/>
        </w:rPr>
        <w:t>Section 8.13(h),</w:t>
      </w:r>
      <w:r>
        <w:rPr>
          <w:rFonts w:ascii="Times New Roman" w:hAnsi="Times New Roman"/>
          <w:color w:val="000000"/>
          <w:sz w:val="24"/>
        </w:rPr>
        <w:t xml:space="preserve"> except (a) as set forth in the disclosure schedule delivered by Parent to the Company (the “</w:t>
      </w:r>
      <w:r>
        <w:rPr>
          <w:rFonts w:ascii="Times New Roman" w:hAnsi="Times New Roman"/>
          <w:b/>
          <w:i/>
          <w:color w:val="000000"/>
          <w:sz w:val="24"/>
        </w:rPr>
        <w:t>Parent Disclosure Schedule</w:t>
      </w:r>
      <w:r>
        <w:rPr>
          <w:rFonts w:ascii="Times New Roman" w:hAnsi="Times New Roman"/>
          <w:color w:val="000000"/>
          <w:sz w:val="24"/>
        </w:rPr>
        <w:t>”</w:t>
      </w:r>
      <w:r>
        <w:rPr>
          <w:rFonts w:ascii="Times New Roman" w:hAnsi="Times New Roman"/>
          <w:b/>
          <w:i/>
          <w:color w:val="000000"/>
          <w:sz w:val="24"/>
        </w:rPr>
        <w:t xml:space="preserve">) </w:t>
      </w:r>
      <w:r>
        <w:rPr>
          <w:rFonts w:ascii="Times New Roman" w:hAnsi="Times New Roman"/>
          <w:color w:val="000000"/>
          <w:sz w:val="24"/>
        </w:rPr>
        <w:t xml:space="preserve">or (b) as disclosed in the Parent SEC Documents filed with the SEC after June 30, 2026 and prior to the date hereof and publicly available on the SEC’s Electronic Data Gathering Analysis and Retrieval system (but (i) without giving effect to any amendment thereof filed with, or furnished to the SEC on or after the date hereof and (ii) excluding any forward-looking, cautionary or predictive disclosures contained under the heading “Risk Factors” and any forward-looking, cautionary or predictive disclosure of risks included in any “forward-looking statements” disclaimer or in any other section to the extent they are forward-looking statements or cautionary, predictive or forward-looking in nature), it being understood that any matter disclosed in the Parent SEC Documents (x) shall not be deemed disclosed for purposes of </w:t>
      </w:r>
      <w:r>
        <w:rPr>
          <w:rFonts w:ascii="Times New Roman" w:hAnsi="Times New Roman"/>
          <w:color w:val="000000"/>
          <w:sz w:val="24"/>
          <w:u w:val="single"/>
        </w:rPr>
        <w:t>Section 3.1</w:t>
      </w:r>
      <w:r>
        <w:rPr>
          <w:rFonts w:ascii="Times New Roman" w:hAnsi="Times New Roman"/>
          <w:color w:val="000000"/>
          <w:sz w:val="24"/>
        </w:rPr>
        <w:t xml:space="preserve">, </w:t>
      </w:r>
      <w:r>
        <w:rPr>
          <w:rFonts w:ascii="Times New Roman" w:hAnsi="Times New Roman"/>
          <w:color w:val="000000"/>
          <w:sz w:val="24"/>
          <w:u w:val="single"/>
        </w:rPr>
        <w:t>Section 3.2</w:t>
      </w:r>
      <w:r>
        <w:rPr>
          <w:rFonts w:ascii="Times New Roman" w:hAnsi="Times New Roman"/>
          <w:color w:val="000000"/>
          <w:sz w:val="24"/>
        </w:rPr>
        <w:t xml:space="preserve">, </w:t>
      </w:r>
      <w:r>
        <w:rPr>
          <w:rFonts w:ascii="Times New Roman" w:hAnsi="Times New Roman"/>
          <w:color w:val="000000"/>
          <w:sz w:val="24"/>
          <w:u w:val="single"/>
        </w:rPr>
        <w:t>Section 3.3</w:t>
      </w:r>
      <w:r>
        <w:rPr>
          <w:rFonts w:ascii="Times New Roman" w:hAnsi="Times New Roman"/>
          <w:color w:val="000000"/>
          <w:sz w:val="24"/>
        </w:rPr>
        <w:t xml:space="preserve">, </w:t>
      </w:r>
      <w:r>
        <w:rPr>
          <w:rFonts w:ascii="Times New Roman" w:hAnsi="Times New Roman"/>
          <w:color w:val="000000"/>
          <w:sz w:val="24"/>
          <w:u w:val="single"/>
        </w:rPr>
        <w:t>Section 3.4</w:t>
      </w:r>
      <w:r>
        <w:rPr>
          <w:rFonts w:ascii="Times New Roman" w:hAnsi="Times New Roman"/>
          <w:color w:val="000000"/>
          <w:sz w:val="24"/>
        </w:rPr>
        <w:t xml:space="preserve">, </w:t>
      </w:r>
      <w:r>
        <w:rPr>
          <w:rFonts w:ascii="Times New Roman" w:hAnsi="Times New Roman"/>
          <w:color w:val="000000"/>
          <w:sz w:val="24"/>
          <w:u w:val="single"/>
        </w:rPr>
        <w:t>Section 3.5</w:t>
      </w:r>
      <w:r>
        <w:rPr>
          <w:rFonts w:ascii="Times New Roman" w:hAnsi="Times New Roman"/>
          <w:color w:val="000000"/>
          <w:sz w:val="24"/>
        </w:rPr>
        <w:t xml:space="preserve">, </w:t>
      </w:r>
      <w:r>
        <w:rPr>
          <w:rFonts w:ascii="Times New Roman" w:hAnsi="Times New Roman"/>
          <w:color w:val="000000"/>
          <w:sz w:val="24"/>
          <w:u w:val="single"/>
        </w:rPr>
        <w:t>Section 3.6,</w:t>
      </w:r>
      <w:r>
        <w:rPr>
          <w:rFonts w:ascii="Times New Roman" w:hAnsi="Times New Roman"/>
          <w:color w:val="000000"/>
          <w:sz w:val="24"/>
        </w:rPr>
        <w:t xml:space="preserve"> and </w:t>
      </w:r>
      <w:r>
        <w:rPr>
          <w:rFonts w:ascii="Times New Roman" w:hAnsi="Times New Roman"/>
          <w:color w:val="000000"/>
          <w:sz w:val="24"/>
          <w:u w:val="single"/>
        </w:rPr>
        <w:t>Section 3.7</w:t>
      </w:r>
      <w:r>
        <w:rPr>
          <w:rFonts w:ascii="Times New Roman" w:hAnsi="Times New Roman"/>
          <w:color w:val="000000"/>
          <w:sz w:val="24"/>
        </w:rPr>
        <w:t xml:space="preserve"> and (y) shall be deemed to be disclosed in a section of the Parent Disclosure Schedule only to the extent that it is readily apparent from a reading of such Parent SEC Documents that is applicable to such section of the Parent Disclosure Schedule, Parent and Merger Sub represent and warrant to the Company as of the date hereof (or in the case of representations and warranties that speak of a specified date, as of such specified date)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Due Organization; Subsidiaries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Parent and First Merger Sub is a corporation and Second Merger Sub is a limited liability company duly incorporated or formed, as applicable, validly existing and in good standing under the Laws of the jurisdiction of its incorporation, and has all necessary corporate or limited liability company, as applicable,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their respective date of incorporation or formation, as applicable, no Merger Sub has engaged in any activities other than activities incident to its formation or in connection with or as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Parent Material Adverse Effect.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Parent has no Subsidiaries, except for the Persons identified in </w:t>
      </w:r>
      <w:r>
        <w:rPr>
          <w:rFonts w:ascii="Times New Roman" w:hAnsi="Times New Roman"/>
          <w:color w:val="000000"/>
          <w:sz w:val="24"/>
          <w:u w:val="single"/>
        </w:rPr>
        <w:t>Section 3.1(c)</w:t>
      </w:r>
      <w:r>
        <w:rPr>
          <w:rFonts w:ascii="Times New Roman" w:hAnsi="Times New Roman"/>
          <w:color w:val="000000"/>
          <w:sz w:val="24"/>
        </w:rPr>
        <w:t xml:space="preserve"> of the Parent Disclosure Schedule; and neither Parent nor any of Parent’s Subsidiaries owns any capital stock of, or any equity, ownership or profit-sharing interest of any nature in, or controls directly or indirectly, any other Person other than the Persons identified in </w:t>
      </w:r>
      <w:r>
        <w:rPr>
          <w:rFonts w:ascii="Times New Roman" w:hAnsi="Times New Roman"/>
          <w:color w:val="000000"/>
          <w:sz w:val="24"/>
          <w:u w:val="single"/>
        </w:rPr>
        <w:t>Section 3.1(c)</w:t>
      </w:r>
      <w:r>
        <w:rPr>
          <w:rFonts w:ascii="Times New Roman" w:hAnsi="Times New Roman"/>
          <w:color w:val="000000"/>
          <w:sz w:val="24"/>
        </w:rPr>
        <w:t xml:space="preserve"> of the Parent Disclosure Schedule. Each of Parent’s Subsidiaries is a corporation or other legal entity duly organized, validly existing and, if applicable, in good standing under the Laws of the jurisdiction of its organization and has all necessary corporate or other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Organizational Documents</w:t>
      </w:r>
      <w:r>
        <w:rPr>
          <w:rFonts w:ascii="Times New Roman" w:hAnsi="Times New Roman"/>
          <w:b/>
          <w:color w:val="000000"/>
          <w:sz w:val="24"/>
        </w:rPr>
        <w:t xml:space="preserve">. </w:t>
      </w:r>
      <w:r>
        <w:rPr>
          <w:rFonts w:ascii="Times New Roman" w:hAnsi="Times New Roman"/>
          <w:color w:val="000000"/>
          <w:sz w:val="24"/>
        </w:rPr>
        <w:t>Parent has made available to the Company accurate and complete copies of the Organizational Documents or Parent and each of its Subsidiaries in effect as of the date of this Agreement. Neither Parent nor any of its Subsidiaries is in material breach or violation of its respective Organizational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Authority; Binding Nature of Agreement</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Parent and each of its Subsidiaries (including the Merger Subs) have all necessary corporate power and authority to enter into and to perform its obligations under this Agreement and, subject, with respect to Parent, to receipt of the Required Parent Stockholder Votes and, with respect to Merger Subs, the adoption of this Agreement by Parent in its capacity as sole stockholder of Merger Subs, to perform its obligations hereunder and to consummate the Contemplated Transactions. The Parent Board (at meetings duly called and held or by written consent) has unanimously: (i) determined that the Contemplated Transactions are fair to, advisable and in the best interests of Parent and its stockholders; (ii) authorized, approved and declared advisable this Agreement and the Contemplated Transactions, including the issuance of Parent Stock Payment Shares to the stockholders of the Company pursuant to the terms of this Agreement and the treatment of the Company Options pursuant to this Agreement; and (iii) determined to recommend, upon the terms and subject to the conditions set forth in this Agreement, that the stockholders of Parent vote to approve the Parent Stockholder Matters. The First Merger Sub Board (by unanimous written consent) has: (A) determined that the Contemplated Transactions are fair to, advisable, and in the best interests of First Merger Sub and its sole stockholder; (B) authorized, approved and declared advisable this Agreement and the Contemplated Transactions; and (C)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its sole member; (B) authorized, approved and declared advisable this Agreement and the Contemplated Transactions; and (C) determined to recommend, upon the terms and subject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conditions set forth in this Agreement, that the member of Second Merger Sub vote to adopt this Agreement and thereby approve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has been duly executed and delivered by Parent and each Merger Sub and, assuming the due authorization, execution and delivery by the Company, constitutes the legal, valid and binding obligation of Parent and Merger Subs, enforceable against each of Parent and Merger Subs in accordance with its terms, subject to the Enforceability Exceptions.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Vote Required</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The approval of holders of Parent Common Stock is not required in order to approve this Agreement or, except with respect to Parent Stockholder Matters, the Contemplated Transactions. The affirmative vote of a majority of the votes cast on the applicable proposal at the First Parent Stockholders’ Meeting by the holders of Parent Common Stock present or represented and entitled to vote at a meeting of stockholders of Parent (other than any Person receiving Parent Common Stock or securities convertible into Parent Common Stock in the Contemplated Transactions or the Parent Financing) is the only vote of the holders of any class or series of Parent’s capital stock necessary to approve the proposal described in </w:t>
      </w:r>
      <w:r>
        <w:rPr>
          <w:rFonts w:ascii="Times New Roman" w:hAnsi="Times New Roman"/>
          <w:color w:val="000000"/>
          <w:sz w:val="24"/>
          <w:u w:val="single"/>
        </w:rPr>
        <w:t>Section 4.2(a)(v)</w:t>
      </w:r>
      <w:r>
        <w:rPr>
          <w:color w:val="000000"/>
        </w:rPr>
        <w:t xml:space="preserve"> </w:t>
      </w:r>
      <w:r>
        <w:rPr>
          <w:rFonts w:ascii="Times New Roman" w:hAnsi="Times New Roman"/>
          <w:color w:val="000000"/>
          <w:sz w:val="24"/>
        </w:rPr>
        <w:t>(the “</w:t>
      </w:r>
      <w:r>
        <w:rPr>
          <w:rFonts w:ascii="Times New Roman" w:hAnsi="Times New Roman"/>
          <w:b/>
          <w:i/>
          <w:color w:val="000000"/>
          <w:sz w:val="24"/>
        </w:rPr>
        <w:t>First Required Parent Stockholder Vote</w:t>
      </w:r>
      <w:r>
        <w:rPr>
          <w:color w:val="000000"/>
        </w:rPr>
        <w:t>”</w:t>
      </w:r>
      <w:r>
        <w:rPr>
          <w:rFonts w:ascii="Times New Roman" w:hAnsi="Times New Roman"/>
          <w:color w:val="000000"/>
          <w:sz w:val="24"/>
        </w:rPr>
        <w:t xml:space="preserve">). The affirmative vote of a majority of the votes cast on the applicable proposal at the Second Parent Stockholders’ Meeting by the holders of Parent Common Stock present or represented and entitled to vote at a meeting of stockholders of Parent (other than any Person receiving Parent Common Stock or securities convertible into Parent Common Stock in the Contemplated Transactions or the Parent Financing) is the only vote of the holders of any class or series of Parent’s capital stock necessary to approve the proposals described in </w:t>
      </w:r>
      <w:r>
        <w:rPr>
          <w:rFonts w:ascii="Times New Roman" w:hAnsi="Times New Roman"/>
          <w:color w:val="000000"/>
          <w:sz w:val="24"/>
          <w:u w:val="single"/>
        </w:rPr>
        <w:t>Section 4.2(a)(i)</w:t>
      </w:r>
      <w:r>
        <w:rPr>
          <w:rFonts w:ascii="Times New Roman" w:hAnsi="Times New Roman"/>
          <w:color w:val="000000"/>
          <w:sz w:val="24"/>
        </w:rPr>
        <w:t xml:space="preserve">, </w:t>
      </w:r>
      <w:r>
        <w:rPr>
          <w:rFonts w:ascii="Times New Roman" w:hAnsi="Times New Roman"/>
          <w:color w:val="000000"/>
          <w:sz w:val="24"/>
          <w:u w:val="single"/>
        </w:rPr>
        <w:t>Section 4.2(a)(ii)</w:t>
      </w:r>
      <w:r>
        <w:rPr>
          <w:rFonts w:ascii="Times New Roman" w:hAnsi="Times New Roman"/>
          <w:color w:val="000000"/>
          <w:sz w:val="24"/>
        </w:rPr>
        <w:t xml:space="preserve">, </w:t>
      </w:r>
      <w:r>
        <w:rPr>
          <w:rFonts w:ascii="Times New Roman" w:hAnsi="Times New Roman"/>
          <w:color w:val="000000"/>
          <w:sz w:val="24"/>
          <w:u w:val="single"/>
        </w:rPr>
        <w:t>Section 4.2(a)(iii)</w:t>
      </w:r>
      <w:r>
        <w:rPr>
          <w:rFonts w:ascii="Times New Roman" w:hAnsi="Times New Roman"/>
          <w:color w:val="000000"/>
          <w:sz w:val="24"/>
        </w:rPr>
        <w:t xml:space="preserve">, and </w:t>
      </w:r>
      <w:r>
        <w:rPr>
          <w:rFonts w:ascii="Times New Roman" w:hAnsi="Times New Roman"/>
          <w:color w:val="000000"/>
          <w:sz w:val="24"/>
          <w:u w:val="single"/>
        </w:rPr>
        <w:t>Section 4.2(a)(iv)</w:t>
      </w:r>
      <w:r>
        <w:rPr>
          <w:color w:val="000000"/>
        </w:rPr>
        <w:t xml:space="preserve"> </w:t>
      </w:r>
      <w:r>
        <w:rPr>
          <w:rFonts w:ascii="Times New Roman" w:hAnsi="Times New Roman"/>
          <w:color w:val="000000"/>
          <w:sz w:val="24"/>
        </w:rPr>
        <w:t xml:space="preserve">(such vote necessary to approve the proposals described in </w:t>
      </w:r>
      <w:r>
        <w:rPr>
          <w:rFonts w:ascii="Times New Roman" w:hAnsi="Times New Roman"/>
          <w:color w:val="000000"/>
          <w:sz w:val="24"/>
          <w:u w:val="single"/>
        </w:rPr>
        <w:t>Section 4.2(a)(i)</w:t>
      </w:r>
      <w:r>
        <w:rPr>
          <w:rFonts w:ascii="Times New Roman" w:hAnsi="Times New Roman"/>
          <w:color w:val="000000"/>
          <w:sz w:val="24"/>
        </w:rPr>
        <w:t xml:space="preserve">, </w:t>
      </w:r>
      <w:r>
        <w:rPr>
          <w:rFonts w:ascii="Times New Roman" w:hAnsi="Times New Roman"/>
          <w:color w:val="000000"/>
          <w:sz w:val="24"/>
          <w:u w:val="single"/>
        </w:rPr>
        <w:t>Section 4.2(a)(ii)</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4.2(a)(iii)</w:t>
      </w:r>
      <w:r>
        <w:rPr>
          <w:rFonts w:ascii="Times New Roman" w:hAnsi="Times New Roman"/>
          <w:color w:val="000000"/>
          <w:sz w:val="24"/>
        </w:rPr>
        <w:t>, the “</w:t>
      </w:r>
      <w:r>
        <w:rPr>
          <w:rFonts w:ascii="Times New Roman" w:hAnsi="Times New Roman"/>
          <w:b/>
          <w:i/>
          <w:color w:val="000000"/>
          <w:sz w:val="24"/>
        </w:rPr>
        <w:t>Second Required Parent Stockholder Vote</w:t>
      </w:r>
      <w:r>
        <w:rPr>
          <w:rFonts w:ascii="Times New Roman" w:hAnsi="Times New Roman"/>
          <w:i/>
          <w:color w:val="000000"/>
          <w:sz w:val="24"/>
        </w:rPr>
        <w:t>,</w:t>
      </w:r>
      <w:r>
        <w:rPr>
          <w:color w:val="000000"/>
        </w:rPr>
        <w:t xml:space="preserve">” </w:t>
      </w:r>
      <w:r>
        <w:rPr>
          <w:rFonts w:ascii="Times New Roman" w:hAnsi="Times New Roman"/>
          <w:color w:val="000000"/>
          <w:sz w:val="24"/>
        </w:rPr>
        <w:t>and together with the First Required Parent Stockholder Vote, the “</w:t>
      </w:r>
      <w:r>
        <w:rPr>
          <w:rFonts w:ascii="Times New Roman" w:hAnsi="Times New Roman"/>
          <w:b/>
          <w:i/>
          <w:color w:val="000000"/>
          <w:sz w:val="24"/>
        </w:rPr>
        <w:t>Required Parent Stockholder Votes</w:t>
      </w:r>
      <w:r>
        <w:rPr>
          <w:color w:val="000000"/>
        </w:rPr>
        <w:t>”</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Non-Contravention: Consents</w:t>
      </w:r>
      <w:r>
        <w:rPr>
          <w:rFonts w:ascii="Times New Roman" w:hAnsi="Times New Roman"/>
          <w:b/>
          <w:color w:val="000000"/>
          <w:sz w:val="24"/>
        </w:rPr>
        <w:t>.</w:t>
      </w:r>
      <w:r>
        <w:rPr>
          <w:color w:val="000000"/>
        </w:rPr>
        <w:t xml:space="preserve"> </w:t>
      </w:r>
      <w:r>
        <w:rPr>
          <w:rFonts w:ascii="Times New Roman" w:hAnsi="Times New Roman"/>
          <w:color w:val="000000"/>
          <w:sz w:val="24"/>
        </w:rPr>
        <w:t>Subject to obtaining the Required Parent Stockholder Votes, the filing of the Certificates of Merger required by the DGCL and the filing of the Series D Certificate of Designation, neither (x) the execution, delivery or performance of this Agreement by Parent or Merger Subs, nor (y) the consummation of the Contemplated Transactions, will directly or indirectly (with or without notice or lapse of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contravene, conflict with or result in a violation of any of the provisions of the Organizational Documents of Parent or any of its Subsidiaries (including Merger Subs);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contravene, conflict with or result in a violation of, or give any Governmental Body or other Person the right to challenge the Contemplated Transactions or to exercise any remedy or obtain any relief under, any Law or any order, writ, injunction, judgment or decree to which Parent or its Subsidiaries, or any of the assets owned or used by Parent or its Subsidiaries, is subject, except as would not reasonably be expected to be material to Parent and its Subsidiaries, taken as a whole, or their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contravene, conflict with or result in a violation of any of the terms or requirements of, or give any Governmental Body the right to revoke, withdraw, suspend, cancel, terminate or modify, any Governmental Authorization that is held by Parent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any of its Subsidiaries, except as would not reasonably be expected to be material to Parent and its Subsidiaries, taken as a whole, or their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contravene, conflict with or result in a violation or breach of, or result in a default under, any provision of any Parent Material Contract, or give any Person the right to: (i) declare a default or exercise any remedy under any Parent Material Contract; (ii) any material payment, rebate, chargeback, penalty or change in delivery schedule under any Parent Material Contract; (iii) accelerate the maturity or performance of any Parent Material Contract; or (iv) cancel, terminate or modify any term of any Parent Material Contract, except in the case of any non-material breach, default, penalty or modification;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result in the imposition or creation of any Encumbrance upon or with respect to any asset owned or used by Parent or any of its Subsidiaries (except for Permitted Encumbrances).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for (i) any Consent set forth in </w:t>
      </w:r>
      <w:r>
        <w:rPr>
          <w:rFonts w:ascii="Times New Roman" w:hAnsi="Times New Roman"/>
          <w:color w:val="000000"/>
          <w:sz w:val="24"/>
          <w:u w:val="single"/>
        </w:rPr>
        <w:t>Section 3.5</w:t>
      </w:r>
      <w:r>
        <w:rPr>
          <w:rFonts w:ascii="Times New Roman" w:hAnsi="Times New Roman"/>
          <w:color w:val="000000"/>
          <w:sz w:val="24"/>
        </w:rPr>
        <w:t xml:space="preserve"> of the Parent Disclosure Schedule under any Parent Contract, (ii) the Required Parent Stockholder Votes, (iii) the filing of the Certificates of Merger with the Secretary of State of the State of Delaware pursuant to the DGCL, (iv) the filing of the Series D Certificate of Designation with the Secretary of State of the State of Delaware pursuant to the DGCL and (v) such consents, waivers, approvals, orders, authorizations, registrations, declarations and filings as may be required under applicable federal and state securities Laws or the rules of Nasdaq, neither Parent nor any of its Subsidiaries is or will be required to make any filing with or give any notice to, or to obtain any Consent from, any Person in connection with (A) the execution, delivery or performance of this Agreement, or (B) the consummation of the Contemplated Transactions. The Parent Board and the First Merger Sub Board and the sole member of Second Merger Sub have taken and will take all actions necessary to ensure that the restrictions applicable to business combinations contained in Section 203 of the DGCL (or analogous provisions) are, and will be, inapplicable to the execution, delivery and performance of this Agreement, the Lock-Up Agreements and to the consummation of the Contemplated Transactions. No other state takeover statute or similar Law applies or purports to apply to the Merger, this Agreement or any of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Capitalization</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authorized capital stock of Parent as of the date of this Agreement consists of 200,000,000 shares of Parent Common Stock, par value $0.00001 per share, of which 2,154,845 shares have been issued and are outstanding as of the close of business on the Reference Date and 10,000,000 shares of preferred stock of Parent, par value $0.00001 per share, of which no shares have been issued or are outstanding as of the date of this Agreement. Parent does not hold any shares of its capital stock in its treasury.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of the outstanding shares of Parent Common Stock have been duly authorized and validly issued and are fully paid and nonassessable. All of the outstanding shares of the capital stock of each Subsidiary of Parent have been duly authorized and validly issued and are fully paid and nonassessable. None of the outstanding shares of Parent Common Stock was or is entitled or subject to any preemptive right, right of participation, right of maintenance or any similar right and none of the outstanding shares of Parent Common Stock was or is subject to any right of first refusal in favor of Parent. Except as contemplated herein, there has been and there is no Parent Contract relating to the voting or registration of, or restricting any Person from purchasing, selling, pledging or otherwise disposing of (or granting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any option or similar right with respect to), any shares of Parent Common Stock or the capital stock of any Subsidiary of Parent. Parent and its Subsidiaries are not under any obligation, nor bound by any Contract pursuant to which it may become obligated, to repurchase, redeem or otherwise acquire any outstanding shares of Parent Common Stock, the capital stock of any Subsidiary of Parent or other securities. </w:t>
      </w:r>
      <w:r>
        <w:rPr>
          <w:rFonts w:ascii="Times New Roman" w:hAnsi="Times New Roman"/>
          <w:color w:val="000000"/>
          <w:sz w:val="24"/>
          <w:u w:val="single"/>
        </w:rPr>
        <w:t>Section 3.6(b)</w:t>
      </w:r>
      <w:r>
        <w:rPr>
          <w:rFonts w:ascii="Times New Roman" w:hAnsi="Times New Roman"/>
          <w:color w:val="000000"/>
          <w:sz w:val="24"/>
        </w:rPr>
        <w:t xml:space="preserve"> of the Parent Disclosure Schedule accurately and completely lists, as of the date of this Agreement, all repurchase rights held by Parent with respect to shares of Parent Common Stock (including shares issued pursuant to the exercise of stock options) and specifies which of those repurchase rights are currently exercisable.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for the Parent Stock Plans, and except as set forth in </w:t>
      </w:r>
      <w:r>
        <w:rPr>
          <w:rFonts w:ascii="Times New Roman" w:hAnsi="Times New Roman"/>
          <w:color w:val="000000"/>
          <w:sz w:val="24"/>
          <w:u w:val="single"/>
        </w:rPr>
        <w:t>Section 3.6(c)</w:t>
      </w:r>
      <w:r>
        <w:rPr>
          <w:rFonts w:ascii="Times New Roman" w:hAnsi="Times New Roman"/>
          <w:color w:val="000000"/>
          <w:sz w:val="24"/>
        </w:rPr>
        <w:t xml:space="preserve"> of the Parent Disclosure Schedule, Parent does not have any stock option plan or any other plan, program, agreement or arrangement providing for any equity or equity-based compensation for any Person. As of the close of business on the Reference Date, Parent has reserved 698,949 shares of Parent Common Stock for issuance under the Parent Stock Plans, of which no shares are subject to Parent’s right of repurchase, of which (1) 502,595 shares have been reserved for issuance upon exercise of Parent Options previously granted and currently outstanding under the Parent Stock Plans, (2) zero shares have been reserved for issuance upon settlement of Parent RSUs previously granted and currently outstanding under the Parent Stock Plans, (3) (1) zero shares have been reserved for issuance upon exercise of purchase rights previously granted and currently outstanding under the Parent ESPP, and (4) 196,354 shares remain available for future issuance pursuant to the Parent Stock Plans. </w:t>
      </w:r>
      <w:r>
        <w:rPr>
          <w:rFonts w:ascii="Times New Roman" w:hAnsi="Times New Roman"/>
          <w:color w:val="000000"/>
          <w:sz w:val="24"/>
          <w:u w:val="single"/>
        </w:rPr>
        <w:t>Section 3.6(c)</w:t>
      </w:r>
      <w:r>
        <w:rPr>
          <w:rFonts w:ascii="Times New Roman" w:hAnsi="Times New Roman"/>
          <w:color w:val="000000"/>
          <w:sz w:val="24"/>
        </w:rPr>
        <w:t xml:space="preserve"> of the Parent Disclosure Schedule sets forth the following information with respect to each Parent Option and Parent RSU outstanding as of the Reference Date (as applicable): (i) the name of the holder; (ii) the number of shares of Parent Common Stock subject to such Parent Option or Parent RSU at the time of grant; (iii) the number of shares of Parent Common Stock subject to such Parent Option or Parent RSU as of the close of business on the Reference Date; (iv) the exercise price of such Parent Option; (v) the date on which such Parent Option or Parent RSU was granted; (vi) the applicable vesting schedule, including the number of vested and unvested shares as of the close of business on the Reference Date and any acceleration provisions; (vii) the date on which such Parent Option or Parent RSU expires; (viii) whether such Parent Option is intended to constitute an “incentive stock option” (as defined in the Code) or a non-qualified stock option and (ix) whether such Parent Option is “early exercisable”. Parent has made available to the Company accurate and complete copies of the Parent Stock Plans and the form of the stock option agreements and restricted stock unit agreements evidencing outstanding Parent Options and Parent RSUs granted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for the Parent Options and the Parent RSUs granted pursuant to the Parent Stock Plans, and as otherwise set forth in </w:t>
      </w:r>
      <w:r>
        <w:rPr>
          <w:rFonts w:ascii="Times New Roman" w:hAnsi="Times New Roman"/>
          <w:color w:val="000000"/>
          <w:sz w:val="24"/>
          <w:u w:val="single"/>
        </w:rPr>
        <w:t>Section 3.6(d)</w:t>
      </w:r>
      <w:r>
        <w:rPr>
          <w:rFonts w:ascii="Times New Roman" w:hAnsi="Times New Roman"/>
          <w:color w:val="000000"/>
          <w:sz w:val="24"/>
        </w:rPr>
        <w:t xml:space="preserve"> of the Parent Disclosure Schedule, as of immediately prior to the First Effective Time, there are no other: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could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with respect to Parent or any of its Subsidiaries. In addition, there are no stockholder rights plans (or similar plan commonly referred to as a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poison pill”) or bonds, debentures, notes or other indebtedness of Parent having the right to vote (or convertible into, or exchangeable for, securities having the right to vote) on any matters on which stockholders of Parent may vote.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outstanding shares of Parent Common Stock, Parent Options, Parent RSUs and other securities of Parent have been issued and granted in material compliance with (i) the Organizational Documents of Parent in effect as of the relevant time and all applicable securities Laws and other applicable Law, and (ii) all requirements set forth in applicable Contracts.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distributions, dividends, repurchases and redemptions of Parent Common Stock or other equity interests of Parent were undertaken in material compliance with (i) the Organizational Documents of Parent in effect as of the relevant time and all applicable securities Laws and other applicable Laws, and (ii) all requirements set forth in applicable Contracts.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SEC Filings; Financial Statements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Parent has delivered or made available to the Company accurate and complete copies of all registration statements, proxy statements, Certifications (as defined below) and other statements, reports, schedules, forms and other documents filed by Parent with the SEC since January 1, 2023 (the “</w:t>
      </w:r>
      <w:r>
        <w:rPr>
          <w:rFonts w:ascii="Times New Roman" w:hAnsi="Times New Roman"/>
          <w:b/>
          <w:i/>
          <w:color w:val="000000"/>
          <w:sz w:val="24"/>
        </w:rPr>
        <w:t>Parent SEC Documents</w:t>
      </w:r>
      <w:r>
        <w:rPr>
          <w:rFonts w:ascii="Times New Roman" w:hAnsi="Times New Roman"/>
          <w:color w:val="000000"/>
          <w:sz w:val="24"/>
        </w:rPr>
        <w:t xml:space="preserve">”), other than such documents that can be obtained on the SEC’s website at </w:t>
      </w:r>
      <w:r>
        <w:rPr>
          <w:rFonts w:ascii="Times New Roman" w:hAnsi="Times New Roman"/>
          <w:color w:val="000000"/>
          <w:sz w:val="24"/>
          <w:u w:val="single"/>
        </w:rPr>
        <w:t>www.sec.gov</w:t>
      </w:r>
      <w:r>
        <w:rPr>
          <w:rFonts w:ascii="Times New Roman" w:hAnsi="Times New Roman"/>
          <w:color w:val="000000"/>
          <w:sz w:val="24"/>
        </w:rPr>
        <w:t>. Since January 1, 2023, all statements, reports, 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or if amended or superseded by a filing prior to the date of this Agreement, on the date of the last such amendment or superseding filing prior to the date of this Agreement, none of the Parent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hAnsi="Times New Roman"/>
          <w:b/>
          <w:i/>
          <w:color w:val="000000"/>
          <w:sz w:val="24"/>
        </w:rPr>
        <w:t>Certifications</w:t>
      </w:r>
      <w:r>
        <w:rPr>
          <w:rFonts w:ascii="Times New Roman" w:hAnsi="Times New Roman"/>
          <w:color w:val="000000"/>
          <w:sz w:val="24"/>
        </w:rPr>
        <w:t>”</w:t>
      </w:r>
      <w:r>
        <w:rPr>
          <w:rFonts w:ascii="Times New Roman" w:hAnsi="Times New Roman"/>
          <w:b/>
          <w:i/>
          <w:color w:val="000000"/>
          <w:sz w:val="24"/>
        </w:rPr>
        <w:t xml:space="preserve">) </w:t>
      </w:r>
      <w:r>
        <w:rPr>
          <w:rFonts w:ascii="Times New Roman" w:hAnsi="Times New Roman"/>
          <w:color w:val="000000"/>
          <w:sz w:val="24"/>
        </w:rPr>
        <w:t xml:space="preserve">are accurate and complete and comply as to form and content with all applicable Laws, and no current or former executive officer of Parent has failed to make the Certifications required of him or her. Parent has made available to the Company true and complete copies of all correspondence, other than transmittal correspondence or general communications by the SEC not specifically addressed to Parent, between the SEC, on the one hand, and Parent, on the other, since January 1, 2023, including all SEC comment letters and responses to such comment letters and responses to such comment letters by or on behalf of Parent except for such comment letters and responses to such comment letters that are publicly accessible through EDGAR. As of the date of this Agreement, there are no outstanding unresolved comments in comment letters received from the SEC or Nasdaq with respect to Parent SEC Documents. To the Knowledge of Parent, none of the Parent SEC Documents is the subject of ongoing SEC review and there are no inquiries or investigations by the SEC, or any internal investigations pending or threatened, including with regards to any accounting practices of Parent. As used in this </w:t>
      </w:r>
      <w:r>
        <w:rPr>
          <w:rFonts w:ascii="Times New Roman" w:hAnsi="Times New Roman"/>
          <w:color w:val="000000"/>
          <w:sz w:val="24"/>
          <w:u w:val="single"/>
        </w:rPr>
        <w:t>Section 3.7</w:t>
      </w:r>
      <w:r>
        <w:rPr>
          <w:rFonts w:ascii="Times New Roman" w:hAnsi="Times New Roman"/>
          <w:color w:val="000000"/>
          <w:sz w:val="24"/>
        </w:rPr>
        <w:t>, the term “file” and variations thereof shall be broadly construed to include any manner in which a document or information is filed, furnished, supplied or otherwise made available to the SEC.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Form 10-Q of the SEC,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Parent’s independent registered public accounting firm has at all times since the date of enactment of the Sarbanes-Oxley Act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(1) of Section 10A of the Exchange Act and the rules and regulations promulgated by the SEC and the Public Company Accounting Oversight Board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in the Parent SEC Documents, since January 1, 2023, through the date of this Agreement, Parent has not received any comment letter from the SEC or the staff thereof or any correspondence from officials of Nasdaq or the staff thereof relating to the delisting or maintenance of listing of the Parent Common Stock on Nasdaq. As of the date of this Agreement, Parent has timely responded to all comment letters of the staff of the SEC relating to the Parent SEC Documents, and the SEC has not advised Parent that any final responses are inadequate, insufficient or otherwise non-responsive. Parent has made available to the Company true, correct and complete copies of all comment letters, written inquiries and enforcement correspondences between the SEC, on the one hand, and Parent, on the other hand, occurring since January 1, 2023, and will, reasonably promptly following the receipt thereof, make available to the Company any such correspondence sent or received after the date of this Agreement. To the Knowledge of Parent, as of the date of this Agreement, none of the Parent SEC Documents is the subject of an ongoing SEC report or outstanding SEC comment.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in the Parent SEC Documents, since January 1, 2023, there have been no formal investigations regarding financial reporting or accounting policies and practices discussed with, reviewed by or initiated at the direction of the chief executive officer, chief financial officer, principal accounting officer or general counsel of Parent, the Parent Board or any committee thereof, other than ordinary course audits or reviews of accounting policies and practices or internal controls required by the Sarbanes-Oxley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is and since its first date of listing on Nasdaq, has been, in compliance in all material respects with the applicable current listing and governance rules and regulations of Nasdaq.</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rPr>
        <w:t>Parent maintains, and at all times since January 1, 2023, has maintained,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(iii) regarding prevention or timely detection of the unauthorized acquisition, use or disposition of Parent’s assets that could have a material effect on Parent’s financial statements and (iv) that Parent maintains records in reasonable detail which accurately and fairly reflect the transactions and dispositions of the assets of Parent and any of its Subsidiaries. Parent has evaluated the effectiveness of Parent’s internal control over financial reporting as of December 31, 2025, and, to the extent required by applicable Law, presented in any applicable Parent SEC Document that is a report on Form 10-K or Form 10</w:t>
        <w:noBreakHyphen/>
        <w:t xml:space="preserve">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has described in </w:t>
      </w:r>
      <w:r>
        <w:rPr>
          <w:rFonts w:ascii="Times New Roman" w:hAnsi="Times New Roman"/>
          <w:color w:val="000000"/>
          <w:sz w:val="24"/>
          <w:u w:val="single"/>
        </w:rPr>
        <w:t>Section 3.7(g)</w:t>
      </w:r>
      <w:r>
        <w:rPr>
          <w:rFonts w:ascii="Times New Roman" w:hAnsi="Times New Roman"/>
          <w:color w:val="000000"/>
          <w:sz w:val="24"/>
        </w:rPr>
        <w:t xml:space="preserve"> of the Parent Disclosure Schedule) (A) all material weaknesses and all significant deficiencies, if any, in the design or operation of internal control over financial reporting that are reasonably likely to adversely affect Parent’s ability to record, process, summarize and report financial information and (B) any fraud, whether or not material, that involves Parent, any of its Subsidiaries, Parent’s or any of its Subsidiaries’ management or other employees who have a role in the preparation of financial statements or the internal accounting controls utilized by Parent or any of its Subsidiaries or (C) any claim or allegation regarding any of the foregoing. Parent has not identified, based on its most recent evaluation of internal control over financial reporting, any significant deficiencies or material weaknesses in the design or operation of Parent’s internal control over financial reporting.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Certifications.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has not been and is not currently a “shell company” as defined under Section 12b-2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Absence of Changes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Except as set forth in </w:t>
      </w:r>
      <w:r>
        <w:rPr>
          <w:rFonts w:ascii="Times New Roman" w:hAnsi="Times New Roman"/>
          <w:color w:val="000000"/>
          <w:sz w:val="24"/>
          <w:u w:val="single"/>
        </w:rPr>
        <w:t>Section 3.8</w:t>
      </w:r>
      <w:r>
        <w:rPr>
          <w:color w:val="000000"/>
        </w:rPr>
        <w:t xml:space="preserve"> </w:t>
      </w:r>
      <w:r>
        <w:rPr>
          <w:rFonts w:ascii="Times New Roman" w:hAnsi="Times New Roman"/>
          <w:color w:val="000000"/>
          <w:sz w:val="24"/>
        </w:rPr>
        <w:t>of the Parent Disclosure Schedule, since the date of the Parent Balance Sheet through the date of this Agreement, Parent and its Subsidiaries have conducted its business only in the Ordinary Course of Business (except for the execution and performance of this Agreement and the discussions, negotiations and transactions related thereto) and there has not been any (x) Parent Material Adverse Effect and (y) neither Parent nor any of its Subsidiaries has done any of the 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declared, accrued, set aside or paid any dividend or made any other distribution in respect of any shares of its capital stock or repurchased, redeemed or otherwise reacquired any shares of its capital stock or other securities (except for shares of Parent Common Stock from terminated employees, directors or consultants of Parent or in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connection with the payment of the exercise price and/or withholding Taxes incurred upon the exercise, settlement or vesting of any award granted under the Parent Stock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sold, issued, granted, pledged, disposed of or otherwise encumbered (other than encumbrances pursuant to applicable securities Laws) or authorized any encumbrance (other than encumbrances pursuant to applicable securities Laws) with respect to: (A) any capital stock or other security of Parent or any of its Subsidiaries (except for Parent Common Stock issued upon the valid exercise of outstanding Parent Options and purchase rights under the Parent ESPP)); (B) any option, warrant or right to acquire any capital stock or any other security, other than option grants to employees and consultants in the Ordinary Course of Business; or (C) any instrument convertible into or exchangeable for any capital stock or other security of Parent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formed any Subsidiary (other than Merger Subs) or acquired any equity interest or other interest in any other Entity or entered into a joint venture with any other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adopted, terminated, established or entered into any Parent Benefit Plan (or any plan, arrangement, agreement, program or policy that would be a Parent Benefit Plan if it were in existence as of the date of this Agreement), other than as required by applicable Law; (B) caused or permitted any Parent Benefit Plan to be amended in any material respect, other than as required by applicable Law; (C) paid any bonus or distributed any profit-sharing account balances or similar payment to, or increased the amount of the wages, salary, commissions, benefits or other compensation or remuneration payable to, any of its directors, officers, employees, independent contractors, or consultants; (D) paid, increased, amended, or granted any severance, change-of-control, or retention benefits any current or former director, officer, employee, independent contractor, consultant, or other Person; (E) hired, engaged, terminated, or given notice of termination (other than for cause) to any officer, employee, contractor, or consultant; or (F) made any loans or entered into any commitments to make any loans to any current or former director, officer, independent contractor or employee;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entered into any collective bargaining agreement or similar agreement with any labor union, or similar labor 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entered into any material transaction outside of the Ordinary Course of Business other than in connection with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acquired any material asset or sold, leased or otherwise irrevocably disposed of any of its assets or properties (other than the disposal of obsolete assets), or granted any Encumbrance (other than Permitted Encumbrances) with respect to such assets or properties, except in the Ordinary Course of Business;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sold, assigned, transferred, licensed, sublicensed or otherwise disposed of any material Parent IP (other than pursuant to non?exclusive licenses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made, changed or revoked any material Tax election (other than elections made in the Ordinary Course of Business), failed to pay any income or other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accounting method in respect of Taxes (other than accounting methods adopted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made any expenditures, incurred any Liabilities or discharged or satisfied any Liabilities, in each case, in amounts that exceed the aggregate amount of $250,000;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as required by Law or GAAP, taken any action to change accounting policies or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initiated or settled any Legal Proceeding;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agreed, resolved or committed to do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Absence of Undisclosed Liabilities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As of the date hereof, neither Parent nor any of its Subsidiaries has any Liability, individually or in the aggregate, of a type required to be recorded or reflected on a balance sheet or disclosed in the footnotes thereto under GAAP except for: (a) Liabilities disclosed, reflected or reserved against in the Parent Balance Sheet; (b) Liabilities that have been incurred by Parent or its Subsidiaries since the date of the Parent Balance Sheet in the Ordinary Course of Business; (c) Liabilities for performance of obligations of Parent or any of its Subsidiaries under Parent Contracts in the Ordinary Course of Business (other than those resulting from a breach of such Parent Contracts); (d) Liabilities incurred in connection with the Contemplated Transactions; (e) Liabilities which would not, individually or in the aggregate, reasonably be expected to be material to Parent and its Subsidiaries, taken as a whole; and (f) Liabilities described in </w:t>
      </w:r>
      <w:r>
        <w:rPr>
          <w:rFonts w:ascii="Times New Roman" w:hAnsi="Times New Roman"/>
          <w:color w:val="000000"/>
          <w:sz w:val="24"/>
          <w:u w:val="single"/>
        </w:rPr>
        <w:t>Section 3.9</w:t>
      </w:r>
      <w:r>
        <w:rPr>
          <w:color w:val="000000"/>
        </w:rPr>
        <w:t xml:space="preserve"> </w:t>
      </w:r>
      <w:r>
        <w:rPr>
          <w:rFonts w:ascii="Times New Roman" w:hAnsi="Times New Roman"/>
          <w:color w:val="000000"/>
          <w:sz w:val="24"/>
        </w:rPr>
        <w:t>of the Parent Disclosure Schedule.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Title to Assets</w:t>
      </w:r>
      <w:r>
        <w:rPr>
          <w:rFonts w:ascii="Times New Roman" w:hAnsi="Times New Roman"/>
          <w:b/>
          <w:color w:val="000000"/>
          <w:sz w:val="24"/>
        </w:rPr>
        <w:t xml:space="preserve">. </w:t>
      </w:r>
      <w:r>
        <w:rPr>
          <w:rFonts w:ascii="Times New Roman" w:hAnsi="Times New Roman"/>
          <w:color w:val="000000"/>
          <w:sz w:val="24"/>
        </w:rPr>
        <w:t xml:space="preserve">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that are material to Parent and its Subsidiaries, taken as a whole, or their business, including: (a) all material tangible assets reflected on the Parent Balance Sheet; and (b) all other material tangible assets reflected in the books and records of Parent or any of its Subsidiaries as being owned by Parent or such Subsidiary. All of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material tangible assets are owned or, in the case of leased assets, leased by Parent or its Subsidiaries free and clear of any Encumbrances, other than Permitted Encumbrances.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Real Property; Leasehold</w:t>
      </w:r>
      <w:r>
        <w:rPr>
          <w:rFonts w:ascii="Times New Roman" w:hAnsi="Times New Roman"/>
          <w:b/>
          <w:color w:val="000000"/>
          <w:sz w:val="24"/>
        </w:rPr>
        <w:t>.</w:t>
      </w:r>
      <w:r>
        <w:rPr>
          <w:color w:val="000000"/>
        </w:rPr>
        <w:t xml:space="preserve"> </w:t>
      </w:r>
      <w:r>
        <w:rPr>
          <w:rFonts w:ascii="Times New Roman" w:hAnsi="Times New Roman"/>
          <w:color w:val="000000"/>
          <w:sz w:val="24"/>
        </w:rPr>
        <w:t>Neither Parent nor any of its Subsidiaries own or ever have owned any real property. Parent has made available to the Company (a) an accurate and complete list of all real properties with respect to which Parent or any of its Subsidiaries directly or indirectly holds a valid leasehold interest as well as any other real estate that is in the possession of, or occupied or leased by, Parent or any of its Subsidiaries, and (b) copies of all leases under which any such real property is possessed, occupied or leased (the “</w:t>
      </w:r>
      <w:r>
        <w:rPr>
          <w:rFonts w:ascii="Times New Roman" w:hAnsi="Times New Roman"/>
          <w:b/>
          <w:i/>
          <w:color w:val="000000"/>
          <w:sz w:val="24"/>
        </w:rPr>
        <w:t>Parent Real Estate Leases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each of which is in full force and effect, with no existing material default thereunder by Parent or any of its Subsidiaries, or to the Knowledge of Parent, any other party thereto. Parent’s and its Subsidiaries’ respective possession, occupancy, lease, use and/or operation of each such leased property conforms to the terms of the Parent Real Estate Leases in all material respects, and Parent or any of its Subsidiaries, as applicable,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Neither Parent nor any of its Subsidiaries has received any written notice from its landlords or any Governmental Body that: (i) relates to violations of building, zoning, safety or fire ordinances or regulations; (ii) claims any defect or deficiency with respect to any of such properties; or (iii) requests the performance of any repairs, alterations or other work to such properties.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Intellectual Property; Privacy</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3.12(a)</w:t>
      </w:r>
      <w:r>
        <w:rPr>
          <w:rFonts w:ascii="Times New Roman" w:hAnsi="Times New Roman"/>
          <w:color w:val="000000"/>
          <w:sz w:val="24"/>
        </w:rPr>
        <w:t xml:space="preserve"> of the Parent Disclosure Schedule identifies each item of Registered IP owned in whole or in part by the Parent or any of its Subsidiaries, including, with respect to each application and registration: (i) the name of the applicant or registrant and any other co-owner, (ii) the jurisdiction of application or registration, and (iii) the application or registration number. To the Knowledge of Parent, each of the patents and patent applications included in </w:t>
      </w:r>
      <w:r>
        <w:rPr>
          <w:rFonts w:ascii="Times New Roman" w:hAnsi="Times New Roman"/>
          <w:color w:val="000000"/>
          <w:sz w:val="24"/>
          <w:u w:val="single"/>
        </w:rPr>
        <w:t>Section 3.12(a)</w:t>
      </w:r>
      <w:r>
        <w:rPr>
          <w:rFonts w:ascii="Times New Roman" w:hAnsi="Times New Roman"/>
          <w:color w:val="000000"/>
          <w:sz w:val="24"/>
        </w:rPr>
        <w:t xml:space="preserve"> of the Parent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Parent, threatened in writing, in which the scope, validity, enforceability or ownership of any Parent IP is being or has been contested or challenged. To the Knowledge of Parent, each item of Parent IP is valid, enforceable and subsisting. Except as set forth in </w:t>
      </w:r>
      <w:r>
        <w:rPr>
          <w:rFonts w:ascii="Times New Roman" w:hAnsi="Times New Roman"/>
          <w:color w:val="000000"/>
          <w:sz w:val="24"/>
          <w:u w:val="single"/>
        </w:rPr>
        <w:t>Section 3.12(a)</w:t>
      </w:r>
      <w:r>
        <w:rPr>
          <w:rFonts w:ascii="Times New Roman" w:hAnsi="Times New Roman"/>
          <w:color w:val="000000"/>
          <w:sz w:val="24"/>
        </w:rPr>
        <w:t xml:space="preserve"> of the Parent Disclosure Schedules, there are no actions, outside of the normal course of prosecution, that must be taken within ninety (90) days of the Closing, the failure of which will result in the abandonment, lapse or cancellation of any material Registered IP owned in whole or in part by Parent or any of its Subsidiaries. To the Knowledge of Parent, the Parent IP shall be available for use by Parent or its Subsidiaries immediately after the Closing Date on identical terms and conditions to those under which Parent or its Subsidiaries, as applicable, owned or used the Parent IP immediately prior to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as has not had and would not reasonably be expected to have, individually or in the aggregate, a Parent Material Adverse Effect, Parent or its Subsidiaries exclusively own, are the sole assignee of, or have exclusively licensed all of material Parent IP, free and clear of all Encumbrances other than Permitted Encumbrances. To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Knowledge of Parent, the Parent IP and all other Intellectual Property Rights licensed to Parent or any of its Subsidiaries, pursuant to a valid, enforceable written agreement, constitute all Intellectual Property Rights used in, material to or otherwise necessary for the operation of Parent’s and any of its Subsidiaries’ business as currently conducted. All Intellectual Property Rights licensed to Parent or any of its Subsidiaries are licensed pursuant to a valid, enforceable written agreement. Each Parent Associate involved in the creation or development of any material Parent IP, pursuant to such Parent Associate’s activities on behalf of Parent or any of its Subsidiaries, has signed a valid and enforceable written agreement containing an assignment of such Parent Associate’s rights in such Parent IP to Parent or its Subsidiaries. Each Parent Associate who has or has had access to Parent’s or any of its Subsidiaries’ trade secrets or confidential information has signed a valid and enforceable written agreement containing confidentiality provisions protecting the Parent IP, trade secrets and confidential information. Each of Parent and its Subsidiaries has taken commercially reasonable steps to protect and preserve the confidentiality of its trade secrets and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w:t>
      </w:r>
      <w:r>
        <w:rPr>
          <w:rFonts w:ascii="Times New Roman" w:hAnsi="Times New Roman"/>
          <w:color w:val="000000"/>
          <w:sz w:val="24"/>
          <w:u w:val="single"/>
        </w:rPr>
        <w:t>Section 3.12(a)</w:t>
      </w:r>
      <w:r>
        <w:rPr>
          <w:rFonts w:ascii="Times New Roman" w:hAnsi="Times New Roman"/>
          <w:color w:val="000000"/>
          <w:sz w:val="24"/>
        </w:rPr>
        <w:t xml:space="preserve"> of the Parent Disclosure Schedule, to the Knowledge of Parent, no funding, facilities or personnel of any Governmental Body or any university, college, research institute or other educational institution has been used to create or develop any Parent IP owned or purported to be owned by Parent or its Subsidiaries, except for any such funding or use of facilities or personnel that does not result in such Governmental Body or institution obtaining or having the right to obtain ownership rights or a license to such Parent IP or the right to receive royalties for the practice of such Parent IP.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3.12(d)</w:t>
      </w:r>
      <w:r>
        <w:rPr>
          <w:rFonts w:ascii="Times New Roman" w:hAnsi="Times New Roman"/>
          <w:color w:val="000000"/>
          <w:sz w:val="24"/>
        </w:rPr>
        <w:t xml:space="preserve"> of the Parent Disclosure Schedule sets forth each license agreement pursuant to which Parent or any of its Subsidiaries (i) is granted an exclusive license under any Intellectual Property Right owned by any third party or is granted a license to any material Intellectual Property Right owned by any third party that is used by Parent or its Subsidiaries in its business as currently conducted (each a “</w:t>
      </w:r>
      <w:r>
        <w:rPr>
          <w:rFonts w:ascii="Times New Roman" w:hAnsi="Times New Roman"/>
          <w:b/>
          <w:i/>
          <w:color w:val="000000"/>
          <w:sz w:val="24"/>
        </w:rPr>
        <w:t>Parent In-bound License</w:t>
      </w:r>
      <w:r>
        <w:rPr>
          <w:rFonts w:ascii="Times New Roman" w:hAnsi="Times New Roman"/>
          <w:color w:val="000000"/>
          <w:sz w:val="24"/>
        </w:rPr>
        <w:t>”</w:t>
      </w:r>
      <w:r>
        <w:rPr>
          <w:rFonts w:ascii="Times New Roman" w:hAnsi="Times New Roman"/>
          <w:b/>
          <w:i/>
          <w:color w:val="000000"/>
          <w:sz w:val="24"/>
        </w:rPr>
        <w:t xml:space="preserve">) </w:t>
      </w:r>
      <w:r>
        <w:rPr>
          <w:rFonts w:ascii="Times New Roman" w:hAnsi="Times New Roman"/>
          <w:color w:val="000000"/>
          <w:sz w:val="24"/>
        </w:rPr>
        <w:t>or (ii) grants to any third party an exclusive license under any Parent IP or grants a license to a third party under any material Parent IP (each a “</w:t>
      </w:r>
      <w:r>
        <w:rPr>
          <w:rFonts w:ascii="Times New Roman" w:hAnsi="Times New Roman"/>
          <w:b/>
          <w:i/>
          <w:color w:val="000000"/>
          <w:sz w:val="24"/>
        </w:rPr>
        <w:t>Parent Out-bound License</w:t>
      </w:r>
      <w:r>
        <w:rPr>
          <w:rFonts w:ascii="Times New Roman" w:hAnsi="Times New Roman"/>
          <w:color w:val="000000"/>
          <w:sz w:val="24"/>
        </w:rPr>
        <w:t>”</w:t>
      </w:r>
      <w:r>
        <w:rPr>
          <w:rFonts w:ascii="Times New Roman" w:hAnsi="Times New Roman"/>
          <w:b/>
          <w:i/>
          <w:color w:val="000000"/>
          <w:sz w:val="24"/>
        </w:rPr>
        <w:t xml:space="preserve">) </w:t>
      </w:r>
      <w:r>
        <w:rPr>
          <w:rFonts w:ascii="Times New Roman" w:hAnsi="Times New Roman"/>
          <w:color w:val="000000"/>
          <w:sz w:val="24"/>
        </w:rPr>
        <w:t>(</w:t>
      </w:r>
      <w:r>
        <w:rPr>
          <w:rFonts w:ascii="Times New Roman" w:hAnsi="Times New Roman"/>
          <w:i/>
          <w:color w:val="000000"/>
          <w:sz w:val="24"/>
        </w:rPr>
        <w:t xml:space="preserve">provided, </w:t>
      </w:r>
      <w:r>
        <w:rPr>
          <w:rFonts w:ascii="Times New Roman" w:hAnsi="Times New Roman"/>
          <w:color w:val="000000"/>
          <w:sz w:val="24"/>
        </w:rPr>
        <w:t xml:space="preserve">that, Parent In-bound Licenses shall not include Parent Standard Inbound Contracts; and Parent Out-bound Licenses shall not include Parent Standard Outbound Contracts). To the Knowledge of Parent, all Parent In-bound Licenses and Parent Out-bound Licenses are in full force and effect and are valid, enforceable and binding obligations of Parent or its applicable Subsidiary and, to the Knowledge of Parent, each other party to such Parent In-bound Licenses or Parent Out-bound Licenses. Neither Parent or its applicable Subsidiary, nor, to the Knowledge of Parent, any other party to such Parent In-bound Licenses or Parent Out-bound Licenses, is in material breach under any Parent In-bound Licenses or Parent Out?bound Licenses. Except as set forth in </w:t>
      </w:r>
      <w:r>
        <w:rPr>
          <w:rFonts w:ascii="Times New Roman" w:hAnsi="Times New Roman"/>
          <w:color w:val="000000"/>
          <w:sz w:val="24"/>
          <w:u w:val="single"/>
        </w:rPr>
        <w:t>Section 3.12(d)</w:t>
      </w:r>
      <w:r>
        <w:rPr>
          <w:rFonts w:ascii="Times New Roman" w:hAnsi="Times New Roman"/>
          <w:color w:val="000000"/>
          <w:sz w:val="24"/>
        </w:rPr>
        <w:t xml:space="preserve"> of the Parent Disclosure Schedule, none of the terms or conditions of any Parent In-Bound License or any Parent Out-bound License requires Parent, any of its Subsidiaries, or any of their Affiliates to maintain, develop or prosecute any Intellectual Property Rights should Parent or its Subsidiaries choose to terminate such Intellectual Property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Knowledge of Parent: (i) the operation of the business of Parent and its Subsidiaries as currently conducted does not infringe, misappropriate or otherwise violate any Intellectual Property Rights of any other Person and (ii) no other Person is infringing, misappropriating or otherwise violating any Parent IP or any Intellectual Property Rights exclusively licensed to Parent. No Legal Proceeding is pending (or, to the Knowledge of Parent, is threatened in writing) (A) against Parent or any of its Subsidiaries alleging that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operation of the business of Parent or any of its Subsidiaries infringes or constitutes the misappropriation or other violation of any Intellectual Property Rights of another Person or (B) by Parent or any of its Subsidiaries alleging that another Person has infringed, misappropriated or otherwise violated any of the Parent IP. Since January 1, 2020, neither Parent nor any of its Subsidiaries have received any written notice or other written communication alleging that the operation of the business of Parent or any of its Subsidiaries infringes or constitutes the misappropriation or other violation of any Intellectual Property Right of another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Parent IP owned or purported to be owned by Parent or any of its Subsidiaries or, to the Knowledge of Parent, any Parent IP exclusively licensed to Parent or any of its Subsidiaries, is subject to any pending or outstanding injunction, directive, order, judgment or other disposition of dispute, that adversely and materially restricts the use, transfer, registration or licensing by Parent or any of its Subsidiaries of any such Parent IP.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Parent and the operation of Parent’s and its Subsidiaries’ business are, and at all times since January 1, 2023, have been, in material compliance with all applicable Privacy and Data Processing Requirements. Except as would not reasonably be expected to result in liability material to Parent, Parent and its Subsidiaries have at all applicable times provided all notices, and obtained and maintained all rights, consents, and authorizations, to Process Parent Data as Processed by or for Parent or its Subsidiaries. Since January 1, 2023, except as would not reasonably be anticipated to result in liability material to Parent and its Subsidiaries, taken as a whole, there has been (i) no loss or theft of, malfunction of, or security breach relating to, Parent Data or Parent’s of its Subsidiaries’ information technology systems, (ii) no violation of any applicable written security policy of Parent or its Subsidiaries regarding any such Parent Data, and (iii) no unauthorized access to, or unauthorized, unintended, or improper use, disclosure, or other Processing of any Parent Data. Since January 1, 2023, except as would not reasonably be expected to result in liability material to Parent and its Subsidiaries, taken as a whole, Parent and its Subsidiaries have maintained commercially reasonable measures and maintained commercially reasonable disaster recovery and security plans, procedures or other measures designed to protect the information technology systems used in, material to or necessary for operation of Parent’s or its Subsidiaries’ business as currently conducted and Parent Data.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Agreements, Contracts and Commitments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3.13</w:t>
      </w:r>
      <w:r>
        <w:rPr>
          <w:rFonts w:ascii="Times New Roman" w:hAnsi="Times New Roman"/>
          <w:color w:val="000000"/>
          <w:sz w:val="24"/>
        </w:rPr>
        <w:t xml:space="preserve"> of the Parent Disclosure Schedule lists the following Parent Contracts in effect as of the date of this Agreement other than any Parent Benefit Plans or Parent Excepted Contracts (each, a “</w:t>
      </w:r>
      <w:r>
        <w:rPr>
          <w:rFonts w:ascii="Times New Roman" w:hAnsi="Times New Roman"/>
          <w:b/>
          <w:i/>
          <w:color w:val="000000"/>
          <w:sz w:val="24"/>
        </w:rPr>
        <w:t>Parent Material Contract</w:t>
      </w:r>
      <w:r>
        <w:rPr>
          <w:rFonts w:ascii="Times New Roman" w:hAnsi="Times New Roman"/>
          <w:color w:val="000000"/>
          <w:sz w:val="24"/>
        </w:rPr>
        <w:t>” and collectively, the “</w:t>
      </w:r>
      <w:r>
        <w:rPr>
          <w:rFonts w:ascii="Times New Roman" w:hAnsi="Times New Roman"/>
          <w:b/>
          <w:i/>
          <w:color w:val="000000"/>
          <w:sz w:val="24"/>
        </w:rPr>
        <w:t>Parent Material Contracts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material Contract as defined in Item 601(b)(10) of Regulation S-K as promulgated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the primary purpose of which is relating to any agreement of indemnification or guaranty not entered into in the Ordinary Course of Business;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containing (A) any covenant limiting in any material respect the freedom of Parent or its Subsidiaries to engage in any line of business or compete with any Person, (B) any most-favored nation or other preferred pricing arrangement in favor of a Person other than Parent or any of its Subsidiaries or any similar term by which any Person is or could become entitled to any benefit, right or privilege that must be at least as favorable to such Person as those offered to any other Person, (C) any exclusivity provision, option to receive a license, right of first refusal or right of first negotiation or similar covenant in favor of a Person other than Parent or any of its Subsidiaries, or (D) any non-solicitation provision, which, for the avoidance of doubt, shall not include any Parent Contract that is (1) a confidentiality, non-disclosure or similar agreement, (2) a license agreement, or (3) a services, consulting or similar agreement, in each case, entered into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relating to capital expenditures and requiring payments after the date of this Agreement in excess of $100,000 pursuant to its express terms and not cancelable without penalty;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relating to the disposition or acquisition of material assets or any ownership interest in any Entity, except as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relating to any mortgages, indentures, loans, notes or credit agreements, security agreements or other agreements or instruments relating to the borrowing of money or extension of credit or creating any material Encumbrances (excluding any Permitted Encumbrances) with respect to any assets of Parent or its Subsidiaries or any loans or debt obligations with officers or directors of Parent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requiring payment by or to Parent or any of its Subsidiaries after the date of this Agreement in excess of $100,000 in the aggregate in the current calendar year or any future calendar year pursuant to its express terms relating to: (A) any distribution agreement (identifying any that contain exclusivity provisions); (B) any agreement involving provision of services or products with respect to any pre-clinical or clinical development activities of Parent or any of its Subsidiaries;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Rights that will not be owned, in whole or in part, by Parent or any of its Subsidiaries; or (D) any Parent Contract with any third party providing any services relating to the manufacture or production of any product, service or technology of Parent, any of its Subsidiaries or any Parent Contract to sell, distribute or commercialize any products or service of Parent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with any financial advisor, broker, finder, investment banker or other similar Person providing financial advisory services to Parent or any of its Subsidiaries in connection with the Contemplated Transactions and entitled to payment by Parent or any of its Subsidiaries as a result of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Real Estate Lease;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with any Governmental Body;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Out-bound License and Parent In-bound License, and each Parent Contract containing a covenant not to sue or otherwise enforce any Intellectual Property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requiring the payment of any royalty, milestones, dividend or similar arrangement based on the revenues or profits of Parent or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Parent Contract providing any option to receive a license or other right, any right of first negotiation, any right of first refusal or any similar right to any Person related to any material Parent IP or material Intellectual Property Right licensed to Parent or any of its Subsidiaries under a Parent In?-bound License;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Parent Contract entered into in settlement of any Legal Proceeding or other dispute;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Parent Contract, offer letter, employment agreement, or independent contractor agreement with any current Parent Associate providing for annual base compensation in excess of $150,000 or that is not immediately terminable at will by Parent or any of its Subsidiaries without notice, severance or other cost or payment;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Contract that provides for retention payments, change of control payments, severance, accelerated vesting, or any similar payment or benefit that may or will become due as a result of the Merger or the consummation of the Contemplated Transactions;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Contract that is not terminable at will (with no penalty or payment or requirement for prior notice, except as required by applicable law) by Parent or its Subsidiaries, as applicable, and which involves payment or receipt by Parent or its Subsidiaries after the date of this Agreement under any such agreement, Contract or commitment of more than $500,000 in the aggregate, or obligations after the date of this Agreement in excess of $500,000 in the aggregate.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has delivered or made available to the Company accurate and complete copies of all Parent Material Contracts, including all amendments thereto. There are no Parent Material Contracts that are not in written form. Neither Parent nor any of its Subsidiaries has,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be material to Parent and its Subsidiaries, taken as a whole, or their business.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or any of its Subsidiaries under any Parent Material Contract or any other material term or provision of any Parent Material Contract, and no Person has indicated in writing to Parent or any of its Subsidiaries that it desires to renegotiate, modify, not renew, cancel, or terminate any Parent Material Contract.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Compliance; Permits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and its Subsidiaries are, and since January 1, 2023 have been, in compliance in all material respects with all applicable Laws, including the FDCA, the PHSA and any other similar Law administered or promulgated by the FDA or other Drug Regulatory Agency, except for any noncompliance, either individually or in the aggregate, which would not be material to Parent and its Subsidiaries,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Knowledge of Parent, no Legal Proceeding or other action by any Governmental Body, including any Drug Regulatory Agency, is pending or threatened against Parent or any Subsidiary. There is no agreement, judgment, injunction, order or decree binding upon Parent or any Subsidiary which (i) has or would reasonably be expected to have the effect of prohibiting or materially impairing any business practice of Parent or any Subsidiary, any acquisition of material property by Parent or any Subsidiary or the conduct of business by Parent or any Subsidiary as currently conducted, (ii) is reasonably likely to have an adverse effect on Parent’s or any Subsidiary’s ability to comply with or perform any covenant or obligation under this Agreement, or (iii) is reasonably likely to have the effect of preventing, delaying, making illegal or otherwise interfering with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Parent and its Subsidiaries hold all required Governmental Authorizations which are material to the operation of the business of Parent and its Subsidiaries as currently conducted (the “</w:t>
      </w:r>
      <w:r>
        <w:rPr>
          <w:rFonts w:ascii="Times New Roman" w:hAnsi="Times New Roman"/>
          <w:b/>
          <w:i/>
          <w:color w:val="000000"/>
          <w:sz w:val="24"/>
        </w:rPr>
        <w:t>Parent Permits</w:t>
      </w:r>
      <w:r>
        <w:rPr>
          <w:rFonts w:ascii="Times New Roman" w:hAnsi="Times New Roman"/>
          <w:color w:val="000000"/>
          <w:sz w:val="24"/>
        </w:rPr>
        <w:t xml:space="preserve">”). </w:t>
      </w:r>
      <w:r>
        <w:rPr>
          <w:rFonts w:ascii="Times New Roman" w:hAnsi="Times New Roman"/>
          <w:color w:val="000000"/>
          <w:sz w:val="24"/>
          <w:u w:val="single"/>
        </w:rPr>
        <w:t>Section 3.14(c)</w:t>
      </w:r>
      <w:r>
        <w:rPr>
          <w:rFonts w:ascii="Times New Roman" w:hAnsi="Times New Roman"/>
          <w:color w:val="000000"/>
          <w:sz w:val="24"/>
        </w:rPr>
        <w:t xml:space="preserve"> of the Parent Disclosure Schedule identifies each Parent Permit. Each such Parent Permit is valid and in full force and effect, and Parent and its Subsidiaries are in material compliance with the terms of the Parent Permits. Neither Parent nor any of its Subsidiaries has received written notice of any Legal Proceeding or, to the Knowledge of Parent, has been threatened, which seeks to revoke, limit, suspend, or materially modify any Parent Permit. The rights and benefits of each Parent Permit will be available to Parent and its Subsidiaries, as applicable, immediately after the Second Effective Time on terms substantially identical to those enjoyed by Parent and its Subsidiaries, as applicable, as of the date of this Agreement and immediately prior to the First Effective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has not been and is not now any Form FDA-483 observation, civil, criminal or administrative action, suit, demand, claim, complaint, hearing, investigation, demand letter, warning letter, untitled letter, notice of violation, seizure, injunction, recall, or proceeding pending or in effect against Parent or any of its Subsidiaries or any of their respective officers and employees, and Parent and its Subsidiaries have no liability for failure to comply with the FDCA, PHSA, or other similar Laws. There is no act, omission, event, fact or circumstance of which Parent has Knowledge that would reasonably be expected to give rise to or form the basis for any civil, criminal or administrative action, suit, demand, claim, complaint, hearing, investigation, demand letter, warning letter, untitled letter, notice of violation, seizure, injunction, recall, Form FDA 483, proceeding or request for information or any liability (whether actual or contingent) for failure to comply with the FDCA, PHSA or other similar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applicable, Parent and each of its Subsidiaries have complied in all material respects with the ICH E9 Guidance for Industry: Statistical Principles for Clinical Trials in the management of the clinical data.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clinical, pre-clinical and other studies and tests conducted by or on behalf of, or sponsored by, Parent or its Subsidiaries, or in which Parent or its Subsidiaries or their respective current products or product candidates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the GCP regulations under 21 C.F.R. Parts 50, 54, 56 and 312 and the GLP regulations under 21 C.F.R. Part 58. No preclinical study or clinical trial conducted by or on behalf of Parent or any of its Subsidiaries has been terminated, suspended or placed on clinical hold prior to completion for safety or noncompliance reasons. Since January 1, 2023, neither Parent nor any of its Subsidiaries has received any notices, correspondence, or other communications from any Drug Regulatory Agency, institutional review board or ethics committee requiring, or to the Knowledge of Parent, threatening to initiate, the termination, suspension, material modification of, or material pause of any clinical studies conducted by or on behalf of, or sponsored by, Parent or any of its Subsidiaries or in which Parent or any of its Subsidiaries or their respective current products or product candidates have participated. To the Knowledge of Parent, no information, condition or circumstance exists that could reasonably be expected to adversely affect the acceptance, or the subsequent approval, of any filing, application or request for approval by a Drug Regulatory Agency. To the extent required, all clinical trials conducted by or on behalf of Parent or any of its Subsidiaries have been registered on, and trial results have been reported on, the United States National Institutes of Health Website, www.clinicaltrials.gov, in accordance with 42 U.S.C. § 282(j), and are listed in accordance with any applicable additional state and local law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nor any of its Subsidiaries is the subject of any pending or, to the Knowledge of Parent, threatened investigation in respect of their respective businesses or products or product candidates pursuant to the FDA’s “Fraud, Untrue Statements of Material Facts, Bribery, and Illegal Gratuities” Final Policy set forth in 56 Fed. Reg. 46191 (September 10, 1991) and any amendments thereto. To the Knowledge of Parent, neither Parent nor any of its Subsidiaries has committed any acts, made any statement, or has failed to make any statement, in each case in respect of its business or products that would violate the FDA’s “Fraud, Untrue Statements of Material Facts, Bribery, and Illegal Gratuities” Final Policy, and any amendments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Parent, nor any of its Subsidiaries, nor any of their respective officers, directors, employees or, to the Knowledge of Parent, agents has been or is: (a) debarred pursuant to Sections 306(a) or (b) of the FDCA (21 U.S.C. § 335a), as amended from time to time; (b) disqualified from participating in clinical trials pursuant to 21 C.F.R. § 312.70, as amended from time to time; (c) disqualified as a testing facility under 21 C.F.R. Part 58, Subpart K, as amended from time to time; (d) excluded, debarred or suspended from or otherwise ineligible to participate in a “Federal Health Care Program” as that term is defined in 42 U.S.C. § 1320a-7b(f), including under 42 U.S.C. § 1320a-7 or relevant regulations in 42 C.F.R. Part 1001; (e) assessed or threatened with assessment of civil money penalties pursuant to 42 C.F.R. Part 1003; (f) included on the HHS/OIG List of Excluded Individuals/Entities, the General Services Administration’s System for Award Management, or the FDA Debarment List or the FDA Disqualified/Restricted List; or (g) has been convicted of a criminal offense that is grounds for any such suspension, debarment or exclusion. Neither Parent, nor any of its Subsidiaries, nor to the Knowledge of Parent, any of their respective officers, directors, employees or agents has engaged in any activities that are prohibited, or are cause for civil penalties, or grounds for mandatory or permissive exclusion, disqualification, debarment,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suspension pursuant to any of these authorities. Parent and its Subsidiaries are not using, nor have they ever used, in any capacity any Person that has ever been, or to the Knowledge of Parent, is the subject of a proceeding that could lead to the Persons becoming debarred, excluded, disqualified, restricted or suspended pursuant to any of these authorities.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Parent’s or any of its Subsidiaries’ product candidates are and have been formulated, manufactured, processed, produced, stored, tested, and packed in compliance in all material respects with all applicable provisions of the FDCA (or equivalent regulatory agency and laws for the applicable jurisdiction of clinical development), and, if applicable, the current Good Manufacturing Practice regulations set forth at 21 C.F.R. Parts 210 and 211 and all relevant FDA and other Drug Regulatory Agency Laws and guidance related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and each of its Subsidiaries has complied in all material respects with all Laws relating to patient, medical or individual health information, including HIPAA.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Legal Proceedings; Orders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of this Agreement, there is no material pending Legal Proceeding and, to the Knowledge of Parent, no Person has threatened in writing to commence any Legal Proceeding: (i) that involves (A) Parent, (B) any of its Subsidiaries, (C) any Parent Associate (in his or her capacity as such) or (D) any of the material assets owned or used by Parent or its Subsidiaries; or (ii) that challenges, or that would have the effect of preventing, delaying, making illegal or otherwise interfering with, the Contemplated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w:t>
      </w:r>
      <w:r>
        <w:rPr>
          <w:rFonts w:ascii="Times New Roman" w:hAnsi="Times New Roman"/>
          <w:color w:val="000000"/>
          <w:sz w:val="24"/>
          <w:u w:val="single"/>
        </w:rPr>
        <w:t>Section 3.15(b)</w:t>
      </w:r>
      <w:r>
        <w:rPr>
          <w:rFonts w:ascii="Times New Roman" w:hAnsi="Times New Roman"/>
          <w:color w:val="000000"/>
          <w:sz w:val="24"/>
        </w:rPr>
        <w:t xml:space="preserve"> of the Parent Disclosure Schedule, since January 1, 2023 through the date of this Agreement, no Legal Proceeding has been pending against Parent or any of its Subsidiaries that resulted in material liability to Parent and its Subsidiaries,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no order, writ, injunction, judgment or decree to which Parent or any of its Subsidiaries, or any of the material assets owned or used by Parent or any of its Subsidiaries, is subject. To the Knowledge of Parent, no officer or employees of Parent or any of its Subsidiaries is subject to any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Tax Matters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and each of its Subsidiaries have timely filed all income and other material Tax Returns that were required to be filed by them under applicable Law. All such Tax Returns are correct and complete in all material respects and have been prepared in material compliance with all applicable Law. No written claim has ever been made by any Governmental Body in any jurisdiction where Parent or any of its Subsidiaries does not file a particular Tax Return or pay a particular Tax that Parent or such Subsidiary is subject to taxation by that jurisdiction.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income and other material Taxes due and owing by Parent or any of its Subsidiaries on or before the date hereof (whether or not shown on any Tax Return) have been fully and timely paid. The unpaid Taxes of Parent and its Subsidiaries did not, as of the Parent Balance Sheet Date, materially exceed the reserve for Tax liability (excluding any reserve for deferred Taxes established to reflect timing differences between book and Tax items) set forth on the face of the Parent Balance Sheet.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Taxes that Parent and each of its Subsidiaries is or was required by Law to withhold or collect have been duly and timely withheld or collected in all material respects on behalf of its respective employees, independent contractors, stockholders, lenders, customers or other third parties and in all material respects have been timely paid to the proper Governmental Body or other Person or properly set aside in accounts for this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Encumbrances for material Taxes (other than Permitted Encumbrances) upon any of the assets of Parent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deficiencies for a material amount of Taxes of Parent or any of its Subsidiaries have been claimed, proposed or assessed by any Governmental Body in writing that have not been fully resolved. There are no pending or ongoing and, to the Knowledge of Parent, threatened audits, assessments or other similar actions by any Governmental Body for or relating to any liability in respect of a material amount of Taxes of Parent or any of its Subsidiaries. Neither Parent nor any of its Subsidiaries has waived any statute of limitations or agreed to any extension of time with respect to any income or other material Tax assessment or deficiency (in each case, excluding automatic extensions of time within which to file a Tax Return).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nor any of its Subsidiaries has been a United States real property holding corporation within the meaning of Section 897(c)(2) of the Code during the applicable period specified in Section 897(c)(1)(A)(ii)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nor any of its Subsidiaries (in each case, attributable to Parent or any of its Subsidiaries) will be required to include any material item of income in, or exclude any material item of deduction from, taxable income for any Tax period (or portion thereof) beginning after the Closing Date as a result of any: (i) change in method of accounting for Tax purposes made prior to the Closing for a Tax period ending on or prior to the Closing Date; (ii) use of an improper method of accounting prior to the Closing for a Tax period ending on or prior to the Closing Date; (iii) “closing agreement” as described in Section 7121 of the Code (or any similar provision of state, local or foreign Law) executed at or prior to the Closing; (iv) intercompany transaction or excess loss account described in Treasury Regulations under Section 1502 of the Code (or any similar provision of state, local or foreign Law) entered into or existing, respectively, at or prior to the Closing; (v) installment sale or open transaction disposition made at or prior to the Closing; or (vi) prepaid amount, advance payment or deferred revenue received or accrued outside the Ordinary Course of Business at or prior to the Closing.</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nor any of its Subsidiaries has ever been (i) a member of a consolidated, combined or unitary Tax group (other than such a group the common parent of which is Parent or any of its Subsidiaries) or (ii) a party to any joint venture, partnership, or other arrangement that is treated as a partnership for U.S. federal income Tax purposes. Neither Parent nor any of its Subsidiaries has any Liability for any material Taxes of any Person (other than Parent or any of its Subsidiaries) under Treasury Regulations Section 1.1502-6 (or any similar provision of state, local, or foreign Law), as a transferee or successor, by Contract (other than a Contract entered into in the Ordinary Course of Business the principal subject matter of which is not Taxes) or otherwise by operation of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the past two (2) years, neither Parent nor any of its Subsidiaries has distributed stock of another Person, or had its stock distributed by another Person, in a transaction that was purported or intended to be governed in whole or in part by Section 355 of the Code or Section 361 of the Code (or any similar provisions of state, local or foreign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nor any of its Subsidiaries has had a permanent establishment or a fixed place of business, in each case within the meaning of an applicable Tax treaty, in a country other than the country in which it is organized.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nor any of its Subsidiaries has participated in or been a party to a transaction that, as of the date of this Agreement, constitutes a “listed transaction” within the meaning of Section 6707A(c)(2) of the Code and Treasury Regulations Section 1.6011-4(b)(2).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3.16(m)</w:t>
      </w:r>
      <w:r>
        <w:rPr>
          <w:rFonts w:ascii="Times New Roman" w:hAnsi="Times New Roman"/>
          <w:color w:val="000000"/>
          <w:sz w:val="24"/>
        </w:rPr>
        <w:t xml:space="preserve"> of the Parent Disclosure Schedule sets forth the entity classification of Parent and each of its Subsidiaries for U.S. federal income tax purposes. Neither Parent nor any of its Subsidiaries has made an election or taken any other action to change its U.S. federal and state income tax classification from such classification.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Parent nor any of its Subsidiaries (including the Merger Subs) has taken any action (or agreed to take any action) or knows of any fact that would reasonably be expected to prevent or impede the Merger from qualifying for the Intended Tax Treatment.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 purposes of this </w:t>
      </w:r>
      <w:r>
        <w:rPr>
          <w:rFonts w:ascii="Times New Roman" w:hAnsi="Times New Roman"/>
          <w:color w:val="000000"/>
          <w:sz w:val="24"/>
          <w:u w:val="single"/>
        </w:rPr>
        <w:t>Section 3.16,</w:t>
      </w:r>
      <w:r>
        <w:rPr>
          <w:rFonts w:ascii="Times New Roman" w:hAnsi="Times New Roman"/>
          <w:color w:val="000000"/>
          <w:sz w:val="24"/>
        </w:rPr>
        <w:t xml:space="preserve"> each reference to Parent or any of its Subsidiaries shall be deemed to include any Person that was liquidated into, merged with, or is otherwise a predecessor to, Parent or such Subsidiary,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Employee and Labor Matters; Benefit Plans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3.17(a)</w:t>
      </w:r>
      <w:r>
        <w:rPr>
          <w:rFonts w:ascii="Times New Roman" w:hAnsi="Times New Roman"/>
          <w:color w:val="000000"/>
          <w:sz w:val="24"/>
        </w:rPr>
        <w:t xml:space="preserve"> of the Parent Disclosure Schedule is a list of all material Parent Benefit Plans (which, for the avoidance of doubt, excludes (i) at-will employment offer letters on Parent’s or any of its Subsidiaries’ standard form and (ii) individual Parent Option or other compensatory equity award agreements made pursuant to Parent’s standard forms, provided that the representative standard forms of such agreements shall be scheduled). “</w:t>
      </w:r>
      <w:r>
        <w:rPr>
          <w:rFonts w:ascii="Times New Roman" w:hAnsi="Times New Roman"/>
          <w:b/>
          <w:i/>
          <w:color w:val="000000"/>
          <w:sz w:val="24"/>
        </w:rPr>
        <w:t>Parent Benefit Plan</w:t>
      </w:r>
      <w:r>
        <w:rPr>
          <w:rFonts w:ascii="Times New Roman" w:hAnsi="Times New Roman"/>
          <w:color w:val="000000"/>
          <w:sz w:val="24"/>
        </w:rPr>
        <w:t xml:space="preserve">” means each “employee benefit plan” (as defined in Section 3(3) of ERISA) and each other pension, retirement, deferred compensation, profit sharing, bonus, incentive, equity or equity-based, phantom equity, employment, consulting, severance, change-of-control, retention, health, life, disability, group insurance, paid time off, holiday, reimbursement, welfare, fringe benefit or similar plan, program, policy, agreement, Contract,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arrangement (whether written or unwritten, qualified or nonqualified, funded or unfunded, subject or not subject to ERISA and including any that have been frozen), in each case, (i) sponsored, maintained, administered, contributed to, or required to be contributed to, by Parent or any of its Subsidiaries, (ii) to which Parent or any of its Subsidiaries is a party, or (iii) under which Parent or any of its Subsidiaries has any actual or contingent liability (including, without limitation, by reason of having a Parent ERISA Affiliate).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As applicable with respect to each material Parent Benefit Plan, Parent has made available to the Company true and complete copies of (i) each material Parent Benefit Plan, including all amendments thereto, and in the case of an unwritten material Parent Benefit Plan, a written description thereof, (ii) all current trust documents, and insurance and annuity Contracts relating thereto, (iii) the current summary plan description and each summary of material modifications thereto, (iv) the most recently filed annual reports with any Governmental Body </w:t>
      </w:r>
      <w:r>
        <w:rPr>
          <w:rFonts w:ascii="Times New Roman" w:hAnsi="Times New Roman"/>
          <w:i/>
          <w:color w:val="000000"/>
          <w:sz w:val="24"/>
        </w:rPr>
        <w:t xml:space="preserve">(e.g., </w:t>
      </w:r>
      <w:r>
        <w:rPr>
          <w:rFonts w:ascii="Times New Roman" w:hAnsi="Times New Roman"/>
          <w:color w:val="000000"/>
          <w:sz w:val="24"/>
        </w:rPr>
        <w:t>Form 5500 and all schedules thereto), (v) the most recent IRS determination, opinion or advisory letter, (vi) the most recent summary annual reports, annual testing reports (including nondiscrimination and coverage testing reports), actuarial reports, financial statements and trustee reports, and (vii) all notices and filings from the IRS or Department of Labor or other Governmental Body concerning audits or investigations, or “prohibited transactions” within the meaning of Section 406 of ERISA or Section 4975 of the Code, or other material non-routine correspondence.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Benefit Plan has been maintained, operated and administered in compliance in all material respects with its terms and the applicable provisions of ERISA, the Code and all other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Parent Benefit Plans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to the Knowledge of Parent, nothing has occurred that would reasonably be expected to materially adversely affect the qualification of such Parent Benefit Plan or the tax exempt status of the related trust.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any of its Subsidiaries nor any Parent ERISA Affiliate has at any time in the last six (6) years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There are no pending audits or investigations by any Governmental Body involving any Parent Benefit Plan, and no pending or, to the Knowledge of Parent, threatened claims (except for routine individual claims for benefits payable in the normal operation of the Parent Benefit Plans), suits or proceedings involving any Parent Benefit Plan, or, to the Knowledge of Parent, any fiduciary thereof or service provider thereto, in any case except as would not be reasonably expected to result in material liability to Parent and its Subsidiaries, taken as a whole. All contributions and premium payments required to have been made under any of the Parent Benefit Plans or by applicable Law (without regard to any waivers granted under Section 412 of the Code), have been timely made in all material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lineRule="auto" w:line="360" w:before="0" w:after="240"/>
        <w:jc w:val="both"/>
        <w:rPr>
          <w:rFonts w:ascii="Times New Roman" w:hAnsi="Times New Roman"/>
          <w:color w:val="000000"/>
          <w:sz w:val="24"/>
        </w:rPr>
      </w:pPr>
      <w:r>
        <w:rPr>
          <w:rFonts w:ascii="Times New Roman" w:hAnsi="Times New Roman"/>
          <w:color w:val="000000"/>
          <w:sz w:val="24"/>
        </w:rPr>
        <w:t xml:space="preserve">respects and neither Parent nor any of its Subsidiaries has any material liability for any unpaid contributions with respect to any Parent Benefit Plan. None of Parent, any of its Subsidiaries or any Parent Benefit Plan, has any material liability for, nor is reasonably expected to have any material liability for, any excise tax or penalty under ERISA or the Code.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Parent, any of its Subsidiaries or any Parent ERISA Affiliates, or to the Knowledge of Parent,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material penalty or material liability for a “prohibited transaction” under Section 406 of ERISA or Section 4975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Parent Benefit Plan provides death, medical, dental, vision, life insurance, disability or other welfare benefits beyond termination of service or retirement other than coverage mandated by Law and to the Knowledge of Parent, neither Parent nor any of its Subsidiaries has made a written representation promising the same. Parent and its Subsidiaries have complied in all material respects with the applicable provisions of the Patient Protection and Affordable Care Act of 2010, as amended, and the Health Care and Education Reconciliation Act of 2010,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Parent Benefit Plan that is a “nonqualified deferred compensation plan” within the meaning of Section 409A of the Code to which Parent or any Subsidiary thereof is a party has been administered and operated in documentary and operational compliance with the provisions of Section 409A of the Code and the Treasury Regulations thereunder, and no additional tax under Section 409A(a)(1)(B) of the Code has been or could reasonably be expected to be incurred by a participant in any such Parent Benefit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w:t>
      </w:r>
      <w:r>
        <w:rPr>
          <w:rFonts w:ascii="Times New Roman" w:hAnsi="Times New Roman"/>
          <w:color w:val="000000"/>
          <w:sz w:val="24"/>
          <w:u w:val="single"/>
        </w:rPr>
        <w:t>Section 3.17(j)</w:t>
      </w:r>
      <w:r>
        <w:rPr>
          <w:rFonts w:ascii="Times New Roman" w:hAnsi="Times New Roman"/>
          <w:color w:val="000000"/>
          <w:sz w:val="24"/>
        </w:rPr>
        <w:t xml:space="preserve"> of the Parent Disclosure Schedule, neither the execution of this Agreement, nor the performance of the Contemplated Transactions (either alone or when combined with the occurrence of any other event, including without limitation, a termination of employment) could reasonably be expected to: (i) result in any payment becoming due to any current or former employee, director, officer, or independent contractor of Parent or any Subsidiary thereof, (ii) increase any amount of compensation or benefits otherwise payable under any Parent Benefit Plan,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in </w:t>
      </w:r>
      <w:r>
        <w:rPr>
          <w:rFonts w:ascii="Times New Roman" w:hAnsi="Times New Roman"/>
          <w:color w:val="000000"/>
          <w:sz w:val="24"/>
          <w:u w:val="single"/>
        </w:rPr>
        <w:t>Section 3.17(k)</w:t>
      </w:r>
      <w:r>
        <w:rPr>
          <w:rFonts w:ascii="Times New Roman" w:hAnsi="Times New Roman"/>
          <w:color w:val="000000"/>
          <w:sz w:val="24"/>
        </w:rPr>
        <w:t xml:space="preserve"> of the Parent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Section 280G of the Code) with respect to Parent and its Subsidiaries of any payment or benefit that is or could be characterized as a “parachute payment” (within the meaning of Section 280G of the Code).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current or former employee, officer, director or independent contractor of Parent or any of its Subsidiaries has any “gross up” agreements with Parent or any of its Subsidiaries or other assurance of reimbursement by Parent or any of its Subsidiaries for any Taxes imposed under Section 409A of the Code or Section 4999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3.17(m)</w:t>
      </w:r>
      <w:r>
        <w:rPr>
          <w:rFonts w:ascii="Times New Roman" w:hAnsi="Times New Roman"/>
          <w:color w:val="000000"/>
          <w:sz w:val="24"/>
        </w:rPr>
        <w:t xml:space="preserve"> of the Parent Disclosure Schedule lists each Parent Benefit Plan (including any benefit or compensation plan, program, policy, practice or arrangement sponsored or maintained by a PEO under which any current or former employee of Parent or any of its Subsidiaries may be eligible to receive benefits or compensation, and under which Parent is a participating employer) that is sponsored, adopted or maintained by Parent or any of its Subsidiaries, whether formally or informally, or with respect to which Parent or any of its Subsidiaries will or may have any Liability, for the benefit of employees who perform services primarily outside the United States (each such plan, an “</w:t>
      </w:r>
      <w:r>
        <w:rPr>
          <w:rFonts w:ascii="Times New Roman" w:hAnsi="Times New Roman"/>
          <w:b/>
          <w:i/>
          <w:color w:val="000000"/>
          <w:sz w:val="24"/>
          <w:u w:val="single"/>
        </w:rPr>
        <w:t>International Employee Plan</w:t>
      </w:r>
      <w:r>
        <w:rPr>
          <w:rFonts w:ascii="Times New Roman" w:hAnsi="Times New Roman"/>
          <w:color w:val="000000"/>
          <w:sz w:val="24"/>
        </w:rPr>
        <w:t>”), including the applicable jurisdiction. Each International Employee Plan (and with respect to each plan sponsored or maintained by a PEO, to Parent’s Knowledge) (i) is and has been adopted, administered and maintained in all material respects in compliance with the terms of such International Employee Plan and the provisions of the Laws of each jurisdiction in which such International Employee Plan is maintained, to the extent those Laws are applicable to such International Employee Plan, (ii) if intended to qualify for special Tax treatment, meets all requirements for such treatment, and (iii) if intended to be funded and/or book-reserved, is fully funded and/or book-reserved, as appropriate, based on reasonable actuarial assumptions. No International Employee Plan has unfunded Liabilities that will not be offset by insurance or that are not accrued on the consolidated financial statements of Parent in accordance with GAAP. No International Employee Plan provides for any form of defined benefit or final salary pension for any employee.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has provided to the Company a true and correct list, as of the date of this Agreement, containing the names of all current Parent Associates (including any individuals to whom an offer has been extended, but have not yet commenced employment or service) of Parent and its Subsidiaries, and, as applicable: (i) base salary or hourly rate, consulting fee, contractor rate, or other terms of compensation; (ii) target amount of any bonus, commission, or incentive compensation, and a listing of any as yet unpaid amounts; (iii) hire date or initial contract date; (iv) employing or contracting entity; (v) full-time, part-time or temporary status; (vi) title and, with respect to independent contractors, a current written description of such person’s contracting services; (vii) visa status, if applicable; (viii) with respect to employees, (A) a designation of whether they are classified as exempt or non-exempt for purposes of the federal Fair Labor Standards Act and any similar state, federal or ex-U.S. law and (B) whether such an employee is on leave, and if so, the expected return date; and (ix) a schedule of any severance, termination payment, notice pay, retention benefits, change in control payments, or other similar compensation or benefits such person may be eligible to receive from the Parent or 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Parent nor any of its Subsidiaries is or has ever been a party to, bound by, or had a duty to bargain under, any collective bargaining agreement or other Contract with a labor union or similar labor organization representing any of its employees, and there is no labor union or similar labor organization representing or, to the Knowledge of Parent, purporting to represent or seeking to represent any employees of Parent or its Subsidiaries, including through the filing of a petition for representation election. There is not and has never been, nor, to the Knowledge of Parent, is there or has there ever been any threat of, any strike, slowdown, work stoppage, lockout, union election petition, demand for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recognition, union organizing activity, or any similar activity or dispute against Parent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and each of its Subsidiaries are, and since January 1, 2023, have been, in material compliance with all applicable Laws respecting labor, employment, employment practices, and terms and conditions of employment, including worker classification, contractor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Parent and its Subsidiaries, taken as a whole, each of Parent and its Subsidiaries, since January 1, 2023, has withheld and reported all amounts required by Law to be withheld and reported with respect to wages, salaries and other payments, benefits, or compensation to their employees, consultants, and independent contractors. There is no Legal Proceeding pending or, to the Knowledge of Parent, threatened or reasonably anticipated against Parent or any of its Subsidiaries relating to any current or former employee, applicant for employment, independent contractor, or consultant of Parent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and its Subsidiaries have complied in all material respects with the WARN Act and no action that could trigger the WARN Act will be implemented before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Environmental Matters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Parent and each of its Subsidiaries are in compliance and since January 1, 2023 have complied with all applicable Environmental Laws, which compliance includes the possession by Parent and its Subsidiaries, as applicable,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or its business. Neither Parent nor any of its Subsidiaries has received since January 1, 2023 (or prior to that time, which is pending and unresolved), any written notice or other communication (in writing or otherwise), whether from a Governmental Body or other Person, that alleges that Parent or any of its Subsidiaries is not in compliance with or has liability pursuant to any Environmental Law and, to the Knowledge of Parent, there are no circumstances that would reasonably be expected to prevent or interfere with Parent’s or any of its Subsidiaries’ compliance in any material respects with any Environmental Law, except where such failure to comply would not reasonably be expected to be material to Parent and its Subsidiaries, taken as a whole, or their business. No current or (during the time a prior property was leased or controlled by Parent or any of its Subsidiaries) prior property leased or controlled by Parent or any of its Subsidiaries has had a release of or exposure to Hazardous Materials in material violation of or as would reasonably be expected to result in any material liability of Parent and its Subsidiaries, taken as a whole, pursuant to Environmental Law. No consent, approval or Governmental Authorization of or registration or filing with any Governmental Body is required by Environmental Laws in connection with the execution and delivery of this Agreement or the consummation of the Contemplated Transactions by Parent or Merger Subs. Prior to the date hereof, Parent has provided or otherwise made available to the Company true and correct copies of all material environmental reports, assessments, studies and audits in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possession or control of Parent or any of its Subsidiaries with respect to any property leased or controlled by Parent or any of its Subsidiaries or any business operated by them.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Transactions with Affiliates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Except as set forth in the Parent SEC Documents filed prior to the date of this Agreement, since December 31, 2024, no event has occurred that would be required to be reported by Parent pursuant to Item 404 of Regulation S-K. </w:t>
      </w:r>
      <w:r>
        <w:rPr>
          <w:rFonts w:ascii="Times New Roman" w:hAnsi="Times New Roman"/>
          <w:color w:val="000000"/>
          <w:sz w:val="24"/>
          <w:u w:val="single"/>
        </w:rPr>
        <w:t>Section 3.19</w:t>
      </w:r>
      <w:r>
        <w:rPr>
          <w:color w:val="000000"/>
        </w:rPr>
        <w:t xml:space="preserve"> </w:t>
      </w:r>
      <w:r>
        <w:rPr>
          <w:rFonts w:ascii="Times New Roman" w:hAnsi="Times New Roman"/>
          <w:color w:val="000000"/>
          <w:sz w:val="24"/>
        </w:rPr>
        <w:t>of the Parent Disclosure Schedule identifies each Person who is (or who may be deemed to be) an Affiliate of Parent as of the date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Insurance</w:t>
      </w:r>
      <w:r>
        <w:rPr>
          <w:rFonts w:ascii="Times New Roman" w:hAnsi="Times New Roman"/>
          <w:b/>
          <w:color w:val="000000"/>
          <w:sz w:val="24"/>
        </w:rPr>
        <w:t>.</w:t>
      </w:r>
      <w:r>
        <w:rPr>
          <w:color w:val="000000"/>
        </w:rPr>
        <w:t xml:space="preserve"> </w:t>
      </w:r>
      <w:r>
        <w:rPr>
          <w:rFonts w:ascii="Times New Roman" w:hAnsi="Times New Roman"/>
          <w:color w:val="000000"/>
          <w:sz w:val="24"/>
        </w:rPr>
        <w:t>Parent has delivered or made available to the Company accurate and complete copies of all material insurance policies and all material self-insurance programs and arrangements relating to the business, assets, liabilities and operations of Parent and each of its Subsidiaries. Each of such insurance policies is in full force and effect and Parent and each of its Subsidiaries is in compliance in all material respects with the terms thereof. Other than customary end of policy notifications from insurance carriers, since January 1, 2023,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Each of Parent and its Subsidiaries has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Opinion of Financial Advisor</w:t>
      </w:r>
      <w:r>
        <w:rPr>
          <w:rFonts w:ascii="Times New Roman" w:hAnsi="Times New Roman"/>
          <w:b/>
          <w:color w:val="000000"/>
          <w:sz w:val="24"/>
        </w:rPr>
        <w:t>.</w:t>
      </w:r>
      <w:r>
        <w:rPr>
          <w:color w:val="000000"/>
        </w:rPr>
        <w:t xml:space="preserve"> </w:t>
      </w:r>
      <w:r>
        <w:rPr>
          <w:rFonts w:ascii="Times New Roman" w:hAnsi="Times New Roman"/>
          <w:color w:val="000000"/>
          <w:sz w:val="24"/>
        </w:rPr>
        <w:t>The Parent Board has received an opinion of Lake Street Capital Markets, LLC, dated as of the date of this Agreement, to the effect that, as of the date of such opinion and based upon and subject to the assumptions, qualifications, limitations and other matters set forth therein, the Merger Consideration to be issued by Parent in connection with the Merger is fair, from a financial point of view, to Parent. It is agreed and understood that such opinion is furnished solely for the information and use of the Parent Board, in its capacity as such, in connection with its consideration of the Merger and may not be relied upon by the Company or any other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No Financial Advisors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Except as set forth in </w:t>
      </w:r>
      <w:r>
        <w:rPr>
          <w:rFonts w:ascii="Times New Roman" w:hAnsi="Times New Roman"/>
          <w:color w:val="000000"/>
          <w:sz w:val="24"/>
          <w:u w:val="single"/>
        </w:rPr>
        <w:t>Section 3.22</w:t>
      </w:r>
      <w:r>
        <w:rPr>
          <w:color w:val="000000"/>
        </w:rPr>
        <w:t xml:space="preserve"> </w:t>
      </w:r>
      <w:r>
        <w:rPr>
          <w:rFonts w:ascii="Times New Roman" w:hAnsi="Times New Roman"/>
          <w:color w:val="000000"/>
          <w:sz w:val="24"/>
        </w:rPr>
        <w:t>of the Parent Disclosure Schedule, no broker, finder or investment banker, other than Lake Street Capital Markets, LLC, is entitled to any tail fee, brokerage fee, finder’s fee, opinion fee, success fee, transaction fee or other fee or commission in connection with the Contemplated Transactions and the transactions contemplated by the Securities Purchase Agreement based upon arrangements made by or on behalf of Parent or any of its Subsidiaries.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Anti-Bribery</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In the last five years, none of Parent or any of its Subsidiaries nor any of their respective directors, officers, employees or, to Parent’s Knowledge, agents or any other Person acting on their behalf (each in their respective capacities as such), has directly or indirectly paid, provided, offered, made, or authorized the provision of any bribes, improper rebates, payoffs, influence payments, kickbacks, illegal payments, illegal political contributions, or other payments, or anything of value, in the form of cash, gifts, or otherwise, or taken any other action, in violation of Anti-Bribery Laws. None of Parent or any of its Subsidiaries or any of their respective directors, officers, employees, or, to Parent’s Knowledge, agents or any other Person acting on their behalf (each in their respective capacities as such) has, in the last five years, taken any action in violation 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Anti-Bribery Laws. Neither Parent nor any of its Subsidiaries is or has in the last five years been the subject of any investigation, prosecution, inquiry, or enforcement action by, or made any voluntary disclosures to any Governmental Body with respect to potential violations of Anti-Bribery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Valid Issuance</w:t>
      </w:r>
      <w:r>
        <w:rPr>
          <w:rFonts w:ascii="Times New Roman" w:hAnsi="Times New Roman"/>
          <w:b/>
          <w:color w:val="000000"/>
          <w:sz w:val="24"/>
        </w:rPr>
        <w:t>.</w:t>
      </w:r>
      <w:r>
        <w:rPr>
          <w:color w:val="000000"/>
        </w:rPr>
        <w:t xml:space="preserve"> </w:t>
      </w:r>
      <w:r>
        <w:rPr>
          <w:rFonts w:ascii="Times New Roman" w:hAnsi="Times New Roman"/>
          <w:color w:val="000000"/>
          <w:sz w:val="24"/>
        </w:rPr>
        <w:t>The Parent Common Stock and Parent Series D Convertible Preferred Stock to be issued in the Contemplated Transactions will, when issued in accordance with the provisions of this Agreement, be validly issued, fully paid and nonassessable. To the Knowledge of Parent as of the date of this Agreement, no “bad actor” disqualifying event described in Rule 506(d)(1)(i)-(viii) of the Securities Act (a “</w:t>
      </w:r>
      <w:r>
        <w:rPr>
          <w:rFonts w:ascii="Times New Roman" w:hAnsi="Times New Roman"/>
          <w:b/>
          <w:i/>
          <w:color w:val="000000"/>
          <w:sz w:val="24"/>
        </w:rPr>
        <w:t>Disqualifying Event</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is applicable to Parent or, to Parent’s Knowledge, any Parent Covered Person, except for a Disqualifying Event as to which Rule 506(d)(2)(ii)-(iv) or (d)(3) of the Securities Act is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Export Control and Sanctions Compliance</w:t>
      </w:r>
      <w:r>
        <w:rPr>
          <w:rFonts w:ascii="Times New Roman" w:hAnsi="Times New Roman"/>
          <w:b/>
          <w:color w:val="000000"/>
          <w:sz w:val="24"/>
        </w:rPr>
        <w:t>.</w:t>
      </w:r>
      <w:r>
        <w:rPr>
          <w:color w:val="000000"/>
        </w:rPr>
        <w:t xml:space="preserve"> </w:t>
      </w:r>
      <w:r>
        <w:rPr>
          <w:rFonts w:ascii="Times New Roman" w:hAnsi="Times New Roman"/>
          <w:color w:val="000000"/>
          <w:sz w:val="24"/>
        </w:rPr>
        <w:t>Parent and its Subsidiaries have conducted their business in compliance with U.S. export and re-export controls, sanctions, and anti-boycott laws and regulations, including the Export Administration Act and Regulations, the Foreign Assets Control Regulations, the International Traffic in Arms Regulations, other controls administered by the United States Department of Commerce or the United States Department of State, the regulations administered by OFAC and all other Trade Laws. Since April 24, 2019, neither Parent nor any of its Subsidiaries has engaged in any direct or indirect transactions or dealings with (a) any country or territory that is, or has been, subject to a U.S. Government embargo (including the Embargoed Countries), (b) any instrumentality, agent, entity, or individual that is located in, or acting on behalf of, or directly or indirectly owned or controlled by any Governmental Body of, any Embargoed Country and (c) any individual or entity identified on, or 50% or more owned (individually or in the aggregate) or otherwise controlled by persons identified on, any list of designated and prohibited parties maintained by the U.S. Government, the United Kingdom, or the European Union, including, but not limited to, the List of Specially Designated Nationals and Blocked Persons, the Foreign Sanctions Evaders List, or the Sectoral Sanctions Identifications List, which are maintained by OFAC, or the Entity List, Denied Persons List, or Unverified List, which are maintained by the Bureau of Industry and Security of the U.S. Commerce Department. To the Knowledge of Parent, neither Parent nor any of its Subsidiaries is, nor has since April 24, 2019 been, the subject of any investigation, prosecution, inquiry, or enforcement action by, or made any voluntary disclosures to, any Governmental Body with respect to potential violations of Trade Laws.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Outbound Investment Security Program</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Neither Parent nor any of its Subsidiaries is (i) a “person of a country of concern”; or (ii) engaged in any “covered activity,” as these terms are defined in the 31 C.F.R. Part 850, as implemented or revised from time to time (the “</w:t>
      </w:r>
      <w:r>
        <w:rPr>
          <w:rFonts w:ascii="Times New Roman" w:hAnsi="Times New Roman"/>
          <w:b/>
          <w:i/>
          <w:color w:val="000000"/>
          <w:sz w:val="24"/>
        </w:rPr>
        <w:t>Outbound Investment Security Program</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and its Subsidiaries have no intention of becoming a “person of a country of concern” that engages in any “covered activity”, each as defined in the Outbound Investment Security Program.</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Parent nor any of its Subsidiaries is, or intends to become, a person that directly or indirectly holds a board seat or a voting or equity interest in, or any contractual power to direct or cause the direction of the management or policies of, any “covered foreign person” as defined in the Outbound Investment Security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CFIUS</w:t>
      </w:r>
      <w:r>
        <w:rPr>
          <w:rFonts w:ascii="Times New Roman" w:hAnsi="Times New Roman"/>
          <w:color w:val="000000"/>
          <w:sz w:val="24"/>
        </w:rPr>
        <w:t>. Parent and its Subsidiaries do not engage in (a) the design, fabrication, development, testing, production or manufacture of one or more “critical technologies” within the meaning of Section 721 of the Defense Production Act of 1950, as amended, including all implementing regulations thereof (the “</w:t>
      </w:r>
      <w:r>
        <w:rPr>
          <w:rFonts w:ascii="Times New Roman" w:hAnsi="Times New Roman"/>
          <w:b/>
          <w:i/>
          <w:color w:val="000000"/>
          <w:sz w:val="24"/>
        </w:rPr>
        <w:t>DPA</w:t>
      </w:r>
      <w:r>
        <w:rPr>
          <w:color w:val="000000"/>
        </w:rPr>
        <w:t>”</w:t>
      </w:r>
      <w:r>
        <w:rPr>
          <w:rFonts w:ascii="Times New Roman" w:hAnsi="Times New Roman"/>
          <w:color w:val="000000"/>
          <w:sz w:val="24"/>
        </w:rPr>
        <w:t>);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 Parent has no intention of engaging in such activities in the future.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Disclaimer of Other Representations or Warranties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previously set forth in this </w:t>
      </w:r>
      <w:r>
        <w:rPr>
          <w:rFonts w:ascii="Times New Roman" w:hAnsi="Times New Roman"/>
          <w:color w:val="000000"/>
          <w:sz w:val="24"/>
          <w:u w:val="single"/>
        </w:rPr>
        <w:t>Section 3</w:t>
      </w:r>
      <w:r>
        <w:rPr>
          <w:rFonts w:ascii="Times New Roman" w:hAnsi="Times New Roman"/>
          <w:color w:val="000000"/>
          <w:sz w:val="24"/>
        </w:rPr>
        <w:t xml:space="preserve"> or in any certificate delivered by Parent or Merger Subs to the Company pursuant to this Agreement, neither Parent nor any Merger Sub makes any representation or warranty, express or implied, at law or in equity, with respect to it or any of its assets, liabilities or operations, and any such other representations or warranties are hereby expressly disclaimed.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Each of Parent, First Merger Sub and Second Merger Sub acknowledges and agrees that, except for the representations and warranties of the Company set forth in </w:t>
      </w:r>
      <w:r>
        <w:rPr>
          <w:rFonts w:ascii="Times New Roman" w:hAnsi="Times New Roman"/>
          <w:color w:val="000000"/>
          <w:sz w:val="24"/>
          <w:u w:val="single"/>
        </w:rPr>
        <w:t>Section 2</w:t>
      </w:r>
      <w:r>
        <w:rPr>
          <w:rFonts w:ascii="Times New Roman" w:hAnsi="Times New Roman"/>
          <w:color w:val="000000"/>
          <w:sz w:val="24"/>
        </w:rPr>
        <w:t xml:space="preserve"> or in any certificate delivered by the Company to Parent or the Merger Subs pursuant to this Agreement, neither Parent nor any of its Representatives is relying on any other representation or warranty of the Company or any other Person made outside of </w:t>
      </w:r>
      <w:r>
        <w:rPr>
          <w:rFonts w:ascii="Times New Roman" w:hAnsi="Times New Roman"/>
          <w:color w:val="000000"/>
          <w:sz w:val="24"/>
          <w:u w:val="single"/>
        </w:rPr>
        <w:t>Section 2</w:t>
      </w:r>
      <w:r>
        <w:rPr>
          <w:rFonts w:ascii="Times New Roman" w:hAnsi="Times New Roman"/>
          <w:color w:val="000000"/>
          <w:sz w:val="24"/>
        </w:rPr>
        <w:t xml:space="preserve"> or such certificates, including regarding the accuracy or completeness of any such other representations or warranties or the omission of any material information, whether express or implied, in each case, with respect to the Contemplated Transactions.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Section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Additional Agreements of the Parties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Company Stockholder Notice</w:t>
      </w:r>
      <w:r>
        <w:rPr>
          <w:rFonts w:ascii="Times New Roman" w:hAnsi="Times New Roman"/>
          <w:b/>
          <w:color w:val="000000"/>
          <w:sz w:val="24"/>
        </w:rPr>
        <w:t>.</w:t>
      </w:r>
      <w:r>
        <w:rPr>
          <w:color w:val="000000"/>
        </w:rPr>
        <w:t xml:space="preserve"> </w:t>
      </w:r>
      <w:r>
        <w:rPr>
          <w:rFonts w:ascii="Times New Roman" w:hAnsi="Times New Roman"/>
          <w:color w:val="000000"/>
          <w:sz w:val="24"/>
        </w:rPr>
        <w:t>Promptly following the date of this Agreement and the receipt of the Required Company Stockholder Vote, the Company shall prepare and mail a notice (the “</w:t>
      </w:r>
      <w:r>
        <w:rPr>
          <w:rFonts w:ascii="Times New Roman" w:hAnsi="Times New Roman"/>
          <w:b/>
          <w:i/>
          <w:color w:val="000000"/>
          <w:sz w:val="24"/>
        </w:rPr>
        <w:t>Company Stockholder Notice</w:t>
      </w:r>
      <w:r>
        <w:rPr>
          <w:color w:val="000000"/>
        </w:rPr>
        <w:t>”</w:t>
      </w:r>
      <w:r>
        <w:rPr>
          <w:rFonts w:ascii="Times New Roman" w:hAnsi="Times New Roman"/>
          <w:color w:val="000000"/>
          <w:sz w:val="24"/>
        </w:rPr>
        <w:t>) to every stockholder of the Company that did not previously execute the Stockholder Written Consent. The Company Stockholder Notice shall (a)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(b) provide the stockholders of the Company to whom it is sent with notice of the actions taken in the Stockholder Written Consent, including the adoption and approval of this Agreement, the Merger and the other Contemplated Transactions in accordance with Section 228(e) of the DGCL and the certificate of incorporation and bylaws of the Company and (c) include a description of the appraisal rights of the Company’s stockholders available under the DGCL, along with such other information as is required thereunder and pursuant to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Parent Stockholders’ Meetings; Registration Statement</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promptly as practicable following the execution of this Agreement, Parent shall take all action necessary under applicable Law to call, give notice of and hold meetings of the holders of Parent Common Stock for the purpose of seeking: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approval of the Preferred Stock Conversion Proposal;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approval of the transactions contemplated hereby and pursuant to the Parent Financing in accordance with applicable Nasdaq Listing Rules (the “</w:t>
      </w:r>
      <w:r>
        <w:rPr>
          <w:rFonts w:ascii="Times New Roman" w:hAnsi="Times New Roman"/>
          <w:b/>
          <w:i/>
          <w:color w:val="000000"/>
          <w:sz w:val="24"/>
        </w:rPr>
        <w:t>Nasdaq Proposals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sz w:val="24"/>
        </w:rPr>
      </w:pPr>
      <w:r>
        <w:rPr>
          <w:rFonts w:ascii="Times New Roman" w:hAnsi="Times New Roman"/>
          <w:color w:val="000000"/>
          <w:sz w:val="24"/>
        </w:rPr>
        <w:t>if determined necessary or advisable, to amend Parent’s certificate of incorporation to increase the number of authorized shares of Parent Common Stock to a number mutually agreed upon by Parent and the Company (the “</w:t>
      </w:r>
      <w:r>
        <w:rPr>
          <w:rFonts w:ascii="Times New Roman" w:hAnsi="Times New Roman"/>
          <w:b/>
          <w:i/>
          <w:color w:val="000000"/>
          <w:sz w:val="24"/>
        </w:rPr>
        <w:t>Charter Amendment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to approve (A) an equity incentive plan that has been approved by the Parent Board, which will provide for new awards for a number of shares of Parent Common Stock, taking into account the advice and recommendations of an independent compensation consultant, and which shall include an annual increase pursuant to an “evergreen” provision, taking into account the advice and recommendations of an independent compensation consultant and (B) an employee stock purchase plan that has been approved by the Parent Board, with a total pool of shares of Parent Common Stock, taking into account the advice and recommendations of an independent compensation consultant, and which shall include an annual increase pursuant to an “evergreen” provision, taking into account the advice and recommendations of an independent compensation consultant, in each case in the forms presented to the Parent Board;</w:t>
      </w:r>
      <w:r>
        <w:rPr>
          <w:rFonts w:ascii="Times New Roman" w:hAnsi="Times New Roman"/>
          <w:color w:val="000000"/>
          <w:sz w:val="16"/>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to the extent deemed necessary or advisable by Parent and/or the Company, to amend Parent’s certificate of incorporation to effect the Nasdaq Reverse Split (the matters contemplated by clauses </w:t>
      </w:r>
      <w:r>
        <w:rPr>
          <w:rFonts w:ascii="Times New Roman" w:hAnsi="Times New Roman"/>
          <w:color w:val="000000"/>
          <w:sz w:val="24"/>
          <w:u w:val="single"/>
        </w:rPr>
        <w:t>4.2(a)(iii)</w:t>
      </w:r>
      <w:r>
        <w:rPr>
          <w:rFonts w:ascii="Times New Roman" w:hAnsi="Times New Roman"/>
          <w:color w:val="000000"/>
          <w:sz w:val="24"/>
        </w:rPr>
        <w:t xml:space="preserve"> (if determined necessary) and </w:t>
      </w:r>
      <w:r>
        <w:rPr>
          <w:rFonts w:ascii="Times New Roman" w:hAnsi="Times New Roman"/>
          <w:color w:val="000000"/>
          <w:sz w:val="24"/>
          <w:u w:val="single"/>
        </w:rPr>
        <w:t>4.2(a)(v)</w:t>
      </w:r>
      <w:r>
        <w:rPr>
          <w:rFonts w:ascii="Times New Roman" w:hAnsi="Times New Roman"/>
          <w:color w:val="000000"/>
          <w:sz w:val="24"/>
        </w:rPr>
        <w:t xml:space="preserve"> are referred to as the “</w:t>
      </w:r>
      <w:r>
        <w:rPr>
          <w:rFonts w:ascii="Times New Roman" w:hAnsi="Times New Roman"/>
          <w:b/>
          <w:i/>
          <w:color w:val="000000"/>
          <w:sz w:val="24"/>
        </w:rPr>
        <w:t>Initial Parent Stockholder Matters</w:t>
      </w:r>
      <w:r>
        <w:rPr>
          <w:rFonts w:ascii="Times New Roman" w:hAnsi="Times New Roman"/>
          <w:color w:val="000000"/>
          <w:sz w:val="24"/>
        </w:rPr>
        <w:t>,” and such meeting held with respect to the Initial Parent Stockholder Matters, the “</w:t>
      </w:r>
      <w:r>
        <w:rPr>
          <w:rFonts w:ascii="Times New Roman" w:hAnsi="Times New Roman"/>
          <w:b/>
          <w:i/>
          <w:color w:val="000000"/>
          <w:sz w:val="24"/>
        </w:rPr>
        <w:t>First Parent Stockholders’ Meeting</w:t>
      </w:r>
      <w:r>
        <w:rPr>
          <w:rFonts w:ascii="Times New Roman" w:hAnsi="Times New Roman"/>
          <w:color w:val="000000"/>
          <w:sz w:val="24"/>
        </w:rPr>
        <w:t xml:space="preserve">”; and the matters contemplated by clauses </w:t>
      </w:r>
      <w:r>
        <w:rPr>
          <w:rFonts w:ascii="Times New Roman" w:hAnsi="Times New Roman"/>
          <w:color w:val="000000"/>
          <w:sz w:val="24"/>
          <w:u w:val="single"/>
        </w:rPr>
        <w:t>4.2(a)(i)-(ii)</w:t>
      </w:r>
      <w:r>
        <w:rPr>
          <w:rFonts w:ascii="Times New Roman" w:hAnsi="Times New Roman"/>
          <w:color w:val="000000"/>
          <w:sz w:val="24"/>
        </w:rPr>
        <w:t xml:space="preserve"> and (if determined advisable) clause </w:t>
      </w:r>
      <w:r>
        <w:rPr>
          <w:rFonts w:ascii="Times New Roman" w:hAnsi="Times New Roman"/>
          <w:color w:val="000000"/>
          <w:sz w:val="24"/>
          <w:u w:val="single"/>
        </w:rPr>
        <w:t>4.2(a)(iii)</w:t>
      </w:r>
      <w:r>
        <w:rPr>
          <w:rFonts w:ascii="Times New Roman" w:hAnsi="Times New Roman"/>
          <w:color w:val="000000"/>
          <w:sz w:val="24"/>
        </w:rPr>
        <w:t xml:space="preserve"> are referred to as the “</w:t>
      </w:r>
      <w:r>
        <w:rPr>
          <w:rFonts w:ascii="Times New Roman" w:hAnsi="Times New Roman"/>
          <w:b/>
          <w:i/>
          <w:color w:val="000000"/>
          <w:sz w:val="24"/>
        </w:rPr>
        <w:t>Additional Parent Stockholder Matters</w:t>
      </w:r>
      <w:r>
        <w:rPr>
          <w:rFonts w:ascii="Times New Roman" w:hAnsi="Times New Roman"/>
          <w:color w:val="000000"/>
          <w:sz w:val="24"/>
        </w:rPr>
        <w:t xml:space="preserve">,” and such meeting held with respect to the Additional Parent Stockholder Matters and the matters contemplated by clause </w:t>
      </w:r>
      <w:r>
        <w:rPr>
          <w:rFonts w:ascii="Times New Roman" w:hAnsi="Times New Roman"/>
          <w:color w:val="000000"/>
          <w:sz w:val="24"/>
          <w:u w:val="single"/>
        </w:rPr>
        <w:t>4.2(a)(iv)</w:t>
      </w:r>
      <w:r>
        <w:rPr>
          <w:rFonts w:ascii="Times New Roman" w:hAnsi="Times New Roman"/>
          <w:color w:val="000000"/>
          <w:sz w:val="24"/>
        </w:rPr>
        <w:t>, the “</w:t>
      </w:r>
      <w:r>
        <w:rPr>
          <w:rFonts w:ascii="Times New Roman" w:hAnsi="Times New Roman"/>
          <w:b/>
          <w:i/>
          <w:color w:val="000000"/>
          <w:sz w:val="24"/>
        </w:rPr>
        <w:t>Second Parent Stockholders’ Meeting</w:t>
      </w:r>
      <w:r>
        <w:rPr>
          <w:rFonts w:ascii="Times New Roman" w:hAnsi="Times New Roman"/>
          <w:color w:val="000000"/>
          <w:sz w:val="24"/>
        </w:rPr>
        <w:t xml:space="preserve">”);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such other changes or approvals as are mutually agreeable to Parent and the Company or otherwise required by applicable Law or the rules and regulations of Nasdaq.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Parent agrees to call and hold each of the Parent Stockholders’ Meetings as soon as practicable after the date hereof. If the approval of the applicable Parent Stockholder Matters is not obtained at the applicable Parent Stockholders’ Meeting or if on a date preceding the applicable Parent Stockholders’ Meeting, Parent reasonably believes that (i) it will not receive proxies sufficient to obtain the applicable Required Parent Stockholder Vote, whether or not quorum would be present, (ii) it will not have sufficient shares of Parent Common Stock represented (whether in person or by proxy) to constitute a quorum necessary to conduct the business of the applicable Parent Stockholders’ Meeting or (iii) as may be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required for the Contemplated Transactions by the listing and governance rules and regulations of Nasdaq, then, in each case, Parent shall adjourn or postpone such Parent Stockholders’ Meeting one or more times to a date or dates no more than thirty (30) days after the scheduled date for such meeting, and to obtain such approvals at such time. If such Parent Stockholders’ Meeting is not so adjourned or postponed, and/or the approval of the applicable Parent Stockholder Matters is not then obtained, Parent shall use its reasonable best efforts to obtain such approvals as soon as practicable thereafter, and in any event to obtain such approvals at the next occurring annual meeting of the stockholders of Parent or, if such annual meeting is not scheduled to be held within six months after such Parent Stockholders’ Meeting, a special meeting of the stockholders of Parent to be held within six months after such Parent Stockholders’ Meeting. Parent shall hold an annual meeting or special meeting of its stockholders, at which a vote of the stockholders of Parent to approve such Parent Stockholder Matters will be solicited and taken, at least once every six months until Parent obtains the approval of such Parent Stockholder Matters.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Parent agrees that: (i) the Parent Board shall recommend that the holders of Parent Common Stock vote to approve the Parent Stockholder Matters and shall solicit and use its reasonable best efforts to obtain such approval within the time frames set forth in </w:t>
      </w:r>
      <w:r>
        <w:rPr>
          <w:rFonts w:ascii="Times New Roman" w:hAnsi="Times New Roman"/>
          <w:color w:val="000000"/>
          <w:sz w:val="24"/>
          <w:u w:val="single"/>
        </w:rPr>
        <w:t>Section 4.2(b),</w:t>
      </w:r>
      <w:r>
        <w:rPr>
          <w:rFonts w:ascii="Times New Roman" w:hAnsi="Times New Roman"/>
          <w:color w:val="000000"/>
          <w:sz w:val="24"/>
        </w:rPr>
        <w:t xml:space="preserve"> and (ii) each of the Proxy Statements shall include a statement to the effect that the Parent Board recommends that Parent’s stockholders vote to approve the applicable Parent Stockholder Matters.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rPr>
        <w:t>As promptly as practicable following the Closing Date (and in any event within seventy-five (75) days following the Closing Date), Parent shall prepare and shall cause to be filed with the SEC, a Registration Statement Form S-3 (or, if Form S-3 is not then available to Parent, on such form of registration statement as is then available) (the “</w:t>
      </w:r>
      <w:r>
        <w:rPr>
          <w:rFonts w:ascii="Times New Roman" w:hAnsi="Times New Roman"/>
          <w:b/>
          <w:i/>
          <w:color w:val="000000"/>
          <w:sz w:val="24"/>
        </w:rPr>
        <w:t>Registration Statement</w:t>
      </w:r>
      <w:r>
        <w:rPr>
          <w:rFonts w:ascii="Times New Roman" w:hAnsi="Times New Roman"/>
          <w:color w:val="000000"/>
          <w:sz w:val="24"/>
        </w:rPr>
        <w:t>”) to register the resale of (i) the shares of Parent Common Stock Payment Shares, and (ii) the shares of Parent Common Stock underlying the Parent Preferred Stock Payment Shares. Each of Parent and the Company shall furnish all information concerning it as may reasonably be requested by the other party in connection with such actions and the preparation of the Registration Statement. Parent covenants and agrees that the Registration Statement, will not, at the time such Registration Statement or any amendments or supplements thereto is filed with the SEC, contain any untrue statement of a material fact or omit to state any material fact required to be stated therein or necessary in order to make the statements made therein, in light of the circumstances under which they were made, not misleading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Parent makes no such representations or warranties in respect of information furnished in writing by any securityholder of the Company for inclusion in the Registration Statement). Parent shall cause the Registration Statement to comply with the applicable rules and regulations promulgated by the SEC and to respond promptly to any comments of the SEC or its staff and to have the Registration Statement declared effective as promptly as practicable after it is filed with the SEC.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Proxy Statements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As promptly as practicable after the Closing Date, Parent shall prepare and file with the SEC two proxy statements relating to each of the Parent Stockholders’ Meetings to be held in connection with the Parent Stockholder Matters (together with any amendments thereof or supplements thereto, the “</w:t>
      </w:r>
      <w:r>
        <w:rPr>
          <w:rFonts w:ascii="Times New Roman" w:hAnsi="Times New Roman"/>
          <w:b/>
          <w:i/>
          <w:color w:val="000000"/>
          <w:sz w:val="24"/>
        </w:rPr>
        <w:t>Proxy Statements</w:t>
      </w:r>
      <w:r>
        <w:rPr>
          <w:rFonts w:ascii="Times New Roman" w:hAnsi="Times New Roman"/>
          <w:color w:val="000000"/>
          <w:sz w:val="24"/>
        </w:rPr>
        <w:t xml:space="preserve">”). Parent shall (i) cause the Proxy Statements to comply with applicable rules and regulations promulgated by the SEC and (ii) respond promptly to any comments or requests of the SEC or its staff related to the Proxy Statements. The Proxy Statements in the form initially filed with the SEC are referred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to as the “</w:t>
      </w:r>
      <w:r>
        <w:rPr>
          <w:rFonts w:ascii="Times New Roman" w:hAnsi="Times New Roman"/>
          <w:b/>
          <w:i/>
          <w:color w:val="000000"/>
          <w:sz w:val="24"/>
        </w:rPr>
        <w:t>Preliminary Proxy Statements</w:t>
      </w:r>
      <w:r>
        <w:rPr>
          <w:rFonts w:ascii="Times New Roman" w:hAnsi="Times New Roman"/>
          <w:color w:val="000000"/>
          <w:sz w:val="24"/>
        </w:rPr>
        <w:t>” and the Proxy Statements in the final definitive form to be delivered to the holders of Parent Common Stock is referred to herein as the “</w:t>
      </w:r>
      <w:r>
        <w:rPr>
          <w:rFonts w:ascii="Times New Roman" w:hAnsi="Times New Roman"/>
          <w:b/>
          <w:i/>
          <w:color w:val="000000"/>
          <w:sz w:val="24"/>
        </w:rPr>
        <w:t>Definitive Proxy Statements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covenants and agrees that the Definitive Proxy Statements (and the letters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shall cause each of the Proxy Statements to be mailed to Parent’s stockholders as promptly as practicable after such Proxy Statement has been filed with the SEC and either (i) the SEC has indicated that it does not intend to review such Proxy Statement or that its review of such Proxy Statement has been completed or (ii) at least ten (10) days shall have passed since such Proxy Statement was filed with the SEC without receiving any correspondence from the SEC commenting upon, or indicating that it intends to review, such Proxy Statement, all in compliance with applicable U.S. federal securities laws and the DGCL. If Parent, First Merger Sub, Second Merger Sub or the Surviving Entity (A) become aware of any event or information that, pursuant to the Securities Act or the Exchange Act, should be disclosed in an amendment or supplement to the applicable Proxy Statement, (B) receives notice of any SEC request for an amendment or supplement to the applicable Proxy Statement or for additional information related thereto, or (C) receives SEC comments on the applicable Proxy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 stockholders.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Reservation of Parent Common Stock: Issuance of Shares of Parent Common Stock</w:t>
      </w:r>
      <w:r>
        <w:rPr>
          <w:rFonts w:ascii="Times New Roman" w:hAnsi="Times New Roman"/>
          <w:b/>
          <w:color w:val="000000"/>
          <w:sz w:val="24"/>
        </w:rPr>
        <w:t>.</w:t>
      </w:r>
      <w:r>
        <w:rPr>
          <w:color w:val="000000"/>
        </w:rPr>
        <w:t xml:space="preserve"> </w:t>
      </w:r>
      <w:r>
        <w:rPr>
          <w:rFonts w:ascii="Times New Roman" w:hAnsi="Times New Roman"/>
          <w:color w:val="000000"/>
          <w:sz w:val="24"/>
        </w:rPr>
        <w:t>For as long as any Parent Preferred Stock Payment Shares remain outstanding, Parent shall at all times, reserve and keep available, free from preemptive rights, out of its authorized but unissued Parent Common Stock or shares of Parent Common Stock held in treasury by Parent, for the purpose of effecting the conversion of the Parent Preferred Stock Payment Shares, the full number of shares of Parent Common Stock then issuable upon the conversion of all Parent Preferred Stock Payment Shares then outstanding. All shares of Parent Common Stock delivered upon conversion of the Parent Preferred Stock Payment Shares shall be newly issued shares or shares held in treasury by Parent, shall have been duly authorized and validly issued and shall be fully paid and nonassessable, and shall be free from preemptive rights and free of any Encumbrance.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Indemnification of Officers and Directors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i/>
          <w:color w:val="000000"/>
          <w:sz w:val="24"/>
        </w:rPr>
        <w:t>D&amp;O Indemnified Parties</w:t>
      </w:r>
      <w:r>
        <w:rPr>
          <w:rFonts w:ascii="Times New Roman" w:hAnsi="Times New Roman"/>
          <w:color w:val="000000"/>
          <w:sz w:val="24"/>
        </w:rPr>
        <w:t>” shall mean a director or officer of Parent or the Company or of their respective Subsidiaries, respectively.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years from the First Effective Time in a manner that would adversely affect the rights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thereunder of individuals who, at or prior to the First Effective Time, were officers or directors of Parent, unless such modification is required by applicable Law. The certificate of formation and limited liability company agreement of the Surviving Entity shall contain, and Parent shall cause the certificate of formation and limited liability company agreement of the Surviving Entity to so contain, provisions no less favorable with respect to indemnification, advancement of expenses and exculpation of present and former directors and officers as those presently set forth in the certificate of incorporation and bylaws of Parent.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rPr>
        <w:t>From and after the First Effective Time, Parent shall continue to maintain directors’ and officers’ liability insurance policies, with an effective date as of the Closing Date, on commercially available terms and conditions and with coverage limits customary for U.S. public companies similarly situated to Parent. In addition, Parent shall purchase, at its sole expense, prior to the Third Effective Time, a six (6) year prepaid “D&amp;O tail policy” (the “</w:t>
      </w:r>
      <w:r>
        <w:rPr>
          <w:rFonts w:ascii="Times New Roman" w:hAnsi="Times New Roman"/>
          <w:b/>
          <w:i/>
          <w:color w:val="000000"/>
          <w:sz w:val="24"/>
        </w:rPr>
        <w:t>D&amp;O Tail Policy</w:t>
      </w:r>
      <w:r>
        <w:rPr>
          <w:rFonts w:ascii="Times New Roman" w:hAnsi="Times New Roman"/>
          <w:color w:val="000000"/>
          <w:sz w:val="24"/>
        </w:rPr>
        <w:t>”) for the non-cancelable extension of the directors’ and officers’ liability coverage of Parent’s existing directors’ and officers’ insurance policies for a claims reporting or discovery period of at least six (6) years from and after the Third Effective Time with respect to any claim related to any period of time at or prior to the Third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300% of the annual premiums paid by Parent in its last full fiscal year prior to the date hereof for Parent’s current policies of directors’ and officers’ liability insurance and fiduciary liability insurance, and if such premiums for such D&amp;O tail Policy would exceed 300% of such annual premium, then Parent shall purchase policies that provide the maximum coverage available at an annual premium equal to 300% of such annual premium.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provisions of this </w:t>
      </w:r>
      <w:r>
        <w:rPr>
          <w:rFonts w:ascii="Times New Roman" w:hAnsi="Times New Roman"/>
          <w:color w:val="000000"/>
          <w:sz w:val="24"/>
          <w:u w:val="single"/>
        </w:rPr>
        <w:t>Section 4.5</w:t>
      </w:r>
      <w:r>
        <w:rPr>
          <w:rFonts w:ascii="Times New Roman" w:hAnsi="Times New Roman"/>
          <w:color w:val="000000"/>
          <w:sz w:val="24"/>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color w:val="000000"/>
          <w:sz w:val="24"/>
          <w:u w:val="single"/>
        </w:rPr>
        <w:t>Section 4.5</w:t>
      </w:r>
      <w:r>
        <w:rPr>
          <w:rFonts w:ascii="Times New Roman" w:hAnsi="Times New Roman"/>
          <w:color w:val="000000"/>
          <w:sz w:val="24"/>
        </w:rPr>
        <w:t xml:space="preserve">. Parent shall cause the Surviving Entity to perform all of the obligations of the Surviving Entity under this </w:t>
      </w:r>
      <w:r>
        <w:rPr>
          <w:rFonts w:ascii="Times New Roman" w:hAnsi="Times New Roman"/>
          <w:color w:val="000000"/>
          <w:sz w:val="24"/>
          <w:u w:val="single"/>
        </w:rPr>
        <w:t>Section 4.5</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Additional Agreements</w:t>
      </w:r>
      <w:r>
        <w:rPr>
          <w:rFonts w:ascii="Times New Roman" w:hAnsi="Times New Roman"/>
          <w:b/>
          <w:color w:val="000000"/>
          <w:sz w:val="24"/>
        </w:rPr>
        <w:t>.</w:t>
      </w:r>
      <w:r>
        <w:rPr>
          <w:color w:val="000000"/>
        </w:rPr>
        <w:t xml:space="preserve"> </w:t>
      </w:r>
      <w:r>
        <w:rPr>
          <w:rFonts w:ascii="Times New Roman" w:hAnsi="Times New Roman"/>
          <w:color w:val="000000"/>
          <w:sz w:val="24"/>
        </w:rPr>
        <w:t>The Parties shall use reasonable best efforts to cause to be taken all actions necessary to consummate the Contemplated Transactions. Without limiting the generality of the foregoing, each Party to this Agreement: (a) shall make all filings and other submissions (if any) and give all notices (if any) set forth on Schedule 4.6 and required to be made and given by such Party in connection with the Contemplated Transactions; (b) shall use reasonable best efforts to obtain each Consent (if any) set forth on Schedule 4.6 and reasonably required to be obtained (pursuant to any applicable Law or Contract, or otherwise) by such Party in connection with the Contemplated Transactions or for such Contract to remain in full force and effect; (c) shall use reasonable best efforts to lift any injunction prohibiting, or any other legal bar to, the Contemplated Transactions; and (d) shall use reasonable best efforts to satisfy the conditions precedent to the consummation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Listing</w:t>
      </w:r>
      <w:r>
        <w:rPr>
          <w:rFonts w:ascii="Times New Roman" w:hAnsi="Times New Roman"/>
          <w:b/>
          <w:color w:val="000000"/>
          <w:sz w:val="24"/>
        </w:rPr>
        <w:t>.</w:t>
      </w:r>
      <w:r>
        <w:rPr>
          <w:color w:val="000000"/>
        </w:rPr>
        <w:t xml:space="preserve"> </w:t>
      </w:r>
      <w:r>
        <w:rPr>
          <w:rFonts w:ascii="Times New Roman" w:hAnsi="Times New Roman"/>
          <w:color w:val="000000"/>
          <w:sz w:val="24"/>
        </w:rPr>
        <w:t>Parent shall use its reasonable best efforts to (a) maintain its existing listing on Nasdaq; (b) prepare and submit to Nasdaq a notification form for the listing of the Parent Common Stock Payment Shares, the shares of Parent Common Stock to be issued upon conversion of the Parent Series D Convertible Preferred Stock to be issued in connection with the Contemplated Transactions and the Parent Common Stock issuable upon exercise of the Parent Assumed Options; and (c) to the extent required by Nasdaq rules and regulations, file an initial listing application for the Parent Common Stock on Nasdaq (the “</w:t>
      </w:r>
      <w:r>
        <w:rPr>
          <w:rFonts w:ascii="Times New Roman" w:hAnsi="Times New Roman"/>
          <w:b/>
          <w:i/>
          <w:color w:val="000000"/>
          <w:sz w:val="24"/>
        </w:rPr>
        <w:t>Nasdaq Listing Application</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 xml:space="preserve">which Nasdaq Listing Application shall be prepared in cooperation with the Company, and to cause such Nasdaq Listing Application to be conditionally approved prior to the Second Parent Stockholders’ Meeting. The Parties will use reasonable best efforts to coordinate with respect to compliance with Nasdaq rules and regulations. Each Party will promptly inform the other Party of all verbal or written communications between Nasdaq and such Party or its representatives. The Company will cooperate with Parent as reasonably requested by Parent with respect to the Nasdaq Listing Application and promptly furnish to Parent all information concerning the Company and the holders of Company Options that may be required or reasonably requested in connection with any action contemplated by this </w:t>
      </w:r>
      <w:r>
        <w:rPr>
          <w:rFonts w:ascii="Times New Roman" w:hAnsi="Times New Roman"/>
          <w:color w:val="000000"/>
          <w:sz w:val="24"/>
          <w:u w:val="single"/>
        </w:rPr>
        <w:t>Section 4.7</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Tax Matters</w:t>
      </w:r>
      <w:r>
        <w:rPr>
          <w:rFonts w:ascii="Times New Roman" w:hAnsi="Times New Roman"/>
          <w:b/>
          <w:color w:val="000000"/>
          <w:sz w:val="24"/>
        </w:rPr>
        <w:t>.</w:t>
      </w:r>
      <w:r>
        <w:rPr>
          <w:color w:val="000000"/>
        </w:rPr>
        <w:t xml:space="preserve"> </w:t>
      </w:r>
      <w:r>
        <w:rPr>
          <w:rFonts w:ascii="Times New Roman" w:hAnsi="Times New Roman"/>
          <w:color w:val="000000"/>
          <w:sz w:val="24"/>
        </w:rPr>
        <w:t>For U.S. federal income Tax purposes, the Parties intend that (i) the First Merger and the Second Merger, taken together, constitute an integrated transaction described in Rev. Rul. 2001-46, 2001-2 C.B. 321 that qualifies as a “reorganization” within the meaning of Section 368(a) of the Code and the Treasury Regulations promulgated thereunder (the “</w:t>
      </w:r>
      <w:r>
        <w:rPr>
          <w:rFonts w:ascii="Times New Roman" w:hAnsi="Times New Roman"/>
          <w:b/>
          <w:i/>
          <w:color w:val="000000"/>
          <w:sz w:val="24"/>
        </w:rPr>
        <w:t>Intended Tax Treatment</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 (ii) this Agreement be, and is hereby adopted as, a “plan of reorganization” for purposes of Sections 354 and 361 of the Code and within the meaning of Treasury Regulations Sections 1.368-2(g) and 1.368-3(a), to which Parent, Merger Subs, and the Company are parties under Section 368(b) of the Code. The Parties shall report (including on Tax Returns) consistent with, and shall not take any tax reporting position (including during the course of any audit, litigation or other proceeding with respect to Taxes) inconsistent with, the Intended Tax Treatment, in each case, unless otherwise required pursuant to a “determination” within the meaning of Section 1313(a) of the Code. The Parties shall (and shall cause their Affiliates to) use their respective reasonable best efforts to cause the Merger to qualify for the Intended Tax Treatment, and not take any action or cause any action to be taken, or fail to take or cause to be taken any action, which action or failure to act would reasonably be expected to prevent the Merger from qualifying for the Intended Tax Treatment.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Legends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Parent shall be entitled to place appropriate legends, including the legend noted in </w:t>
      </w:r>
      <w:r>
        <w:rPr>
          <w:rFonts w:ascii="Times New Roman" w:hAnsi="Times New Roman"/>
          <w:color w:val="000000"/>
          <w:sz w:val="24"/>
          <w:u w:val="single"/>
        </w:rPr>
        <w:t>Section 4.17</w:t>
      </w:r>
      <w:r>
        <w:rPr>
          <w:rFonts w:ascii="Times New Roman" w:hAnsi="Times New Roman"/>
          <w:color w:val="000000"/>
          <w:sz w:val="24"/>
        </w:rPr>
        <w:t>, on the book entries and/or certificates evidencing any shares of Parent Common Stock or Parent Series D Convertible Preferred Stock to be received in the Merger by equity holders of the Company and any shares of Parent Common Stock issuable upon exercise or conversion of any shares of Parent Series D Convertible Preferred Stock or Parent Assumed Options reflecting the restrictions on transfer under applicable securities laws, including those set forth in Rules 144 and 145 and to issue appropriate stop transfer instructions to the transfer agent for Parent Common Stock and Parent Series D Convertible Preferred Stock.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Directors and Officers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The Parties shall use reasonable best efforts and take all necessary action so that immediately after the First Effective Time, (a) the Parent Board is comprised of seven (7) members, with six (6) such members designated by Parent (at least four (4) of whom shall be independent board members), and one (1) such members shall be designated by the Company (who shall be acceptable to Parent immediately prior to the First Effective Time, such acceptance not to be unreasonably withheld, conditioned or delayed), and (b) the Persons listed in Section 4.10 of the Parent Disclosure Schedule under the heading “Officers” are elected or appointed, as applicable, to the positions of officers of Parent and the Surviving Entity, as set forth therein, to serve in such positions effective as of the First Effective Time until successors are duly appointed and qualified in accordance with applicable Law. If any Person listed in </w:t>
      </w:r>
      <w:r>
        <w:rPr>
          <w:rFonts w:ascii="Times New Roman" w:hAnsi="Times New Roman"/>
          <w:color w:val="000000"/>
          <w:sz w:val="24"/>
          <w:u w:val="single"/>
        </w:rPr>
        <w:t>Section 4.10</w:t>
      </w:r>
      <w:r>
        <w:rPr>
          <w:color w:val="000000"/>
        </w:rPr>
        <w:t xml:space="preserve"> </w:t>
      </w:r>
      <w:r>
        <w:rPr>
          <w:rFonts w:ascii="Times New Roman" w:hAnsi="Times New Roman"/>
          <w:color w:val="000000"/>
          <w:sz w:val="24"/>
        </w:rPr>
        <w:t xml:space="preserve">of the Parent Disclosure Schedule is unable or unwilling to serve as a director or an officer, as the case may be, of Parent or the Surviving Entity, as set forth therein, as of the First Effective Time, the Parties shall mutually agree upon a successor. The Persons listed in </w:t>
      </w:r>
      <w:r>
        <w:rPr>
          <w:rFonts w:ascii="Times New Roman" w:hAnsi="Times New Roman"/>
          <w:color w:val="000000"/>
          <w:sz w:val="24"/>
          <w:u w:val="single"/>
        </w:rPr>
        <w:t>Section 4.10</w:t>
      </w:r>
      <w:r>
        <w:rPr>
          <w:color w:val="000000"/>
        </w:rPr>
        <w:t xml:space="preserve"> </w:t>
      </w:r>
      <w:r>
        <w:rPr>
          <w:rFonts w:ascii="Times New Roman" w:hAnsi="Times New Roman"/>
          <w:color w:val="000000"/>
          <w:sz w:val="24"/>
        </w:rPr>
        <w:t xml:space="preserve">of the Parent Disclosure Schedule under the heading “Board Designees – Parent” shall be Parent’s designees pursuant to clause (a) of this </w:t>
      </w:r>
      <w:r>
        <w:rPr>
          <w:rFonts w:ascii="Times New Roman" w:hAnsi="Times New Roman"/>
          <w:color w:val="000000"/>
          <w:sz w:val="24"/>
          <w:u w:val="single"/>
        </w:rPr>
        <w:t>Section 4.10</w:t>
      </w:r>
      <w:r>
        <w:rPr>
          <w:rFonts w:ascii="Times New Roman" w:hAnsi="Times New Roman"/>
          <w:color w:val="000000"/>
          <w:sz w:val="24"/>
        </w:rPr>
        <w:t xml:space="preserve">. The Person listed in Section 4.10 of the Parent Disclosure Schedule under the heading “Board Designee – Company” shall be the Company’s designee pursuant to clause (a) of this </w:t>
      </w:r>
      <w:r>
        <w:rPr>
          <w:rFonts w:ascii="Times New Roman" w:hAnsi="Times New Roman"/>
          <w:color w:val="000000"/>
          <w:sz w:val="24"/>
          <w:u w:val="single"/>
        </w:rPr>
        <w:t>Section 4.10</w:t>
      </w:r>
      <w:r>
        <w:rPr>
          <w:color w:val="000000"/>
        </w:rPr>
        <w:t xml:space="preserve"> </w:t>
      </w:r>
      <w:r>
        <w:rPr>
          <w:rFonts w:ascii="Times New Roman" w:hAnsi="Times New Roman"/>
          <w:color w:val="000000"/>
          <w:sz w:val="24"/>
        </w:rPr>
        <w:t>(the “</w:t>
      </w:r>
      <w:r>
        <w:rPr>
          <w:rFonts w:ascii="Times New Roman" w:hAnsi="Times New Roman"/>
          <w:b/>
          <w:i/>
          <w:color w:val="000000"/>
          <w:sz w:val="24"/>
        </w:rPr>
        <w:t>Company Designee</w:t>
      </w:r>
      <w:r>
        <w:rPr>
          <w:color w:val="000000"/>
        </w:rPr>
        <w:t>”</w:t>
      </w:r>
      <w:r>
        <w:rPr>
          <w:rFonts w:ascii="Times New Roman" w:hAnsi="Times New Roman"/>
          <w:color w:val="000000"/>
          <w:sz w:val="24"/>
        </w:rPr>
        <w:t>). All independent board members must qualify as “independent directors” under applicable SEC rules. Concurrently with the Closing, the newly constituted Parent Board shall ensure that the various committees of the Parent Board are constituted in the manner set forth on such Section 4.10 of the Parent Disclosure Schedule.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Section 16 Matters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Prior to the First Effective Time, Parent and the Company shall take all such steps as may be required (to the extent permitted under applicable Laws) to cause any acquisitions of Parent Common Stock, Parent RSUs, restricted stock awards to acquire Parent Common Stock and any Parent Options to purchase Parent Common Stock in connection with the Contemplated Transactions, by each individual who is reasonably expected to become subject to the reporting requirements of </w:t>
      </w:r>
      <w:r>
        <w:rPr>
          <w:rFonts w:ascii="Times New Roman" w:hAnsi="Times New Roman"/>
          <w:color w:val="000000"/>
          <w:sz w:val="24"/>
          <w:u w:val="single"/>
        </w:rPr>
        <w:t>Section 16(a)</w:t>
      </w:r>
      <w:r>
        <w:rPr>
          <w:color w:val="000000"/>
        </w:rPr>
        <w:t xml:space="preserve"> </w:t>
      </w:r>
      <w:r>
        <w:rPr>
          <w:rFonts w:ascii="Times New Roman" w:hAnsi="Times New Roman"/>
          <w:color w:val="000000"/>
          <w:sz w:val="24"/>
        </w:rPr>
        <w:t>of the Exchange Act with respect to Parent, to be exempt under Rule 16b-3 promulgated under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Cooperation</w:t>
      </w:r>
      <w:r>
        <w:rPr>
          <w:rFonts w:ascii="Times New Roman" w:hAnsi="Times New Roman"/>
          <w:b/>
          <w:color w:val="000000"/>
          <w:sz w:val="24"/>
        </w:rPr>
        <w:t>.</w:t>
      </w:r>
      <w:r>
        <w:rPr>
          <w:color w:val="000000"/>
        </w:rPr>
        <w:t xml:space="preserve"> </w:t>
      </w:r>
      <w:r>
        <w:rPr>
          <w:rFonts w:ascii="Times New Roman" w:hAnsi="Times New Roman"/>
          <w:color w:val="000000"/>
          <w:sz w:val="24"/>
        </w:rPr>
        <w:t>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First Effective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Closing</w:t>
      </w:r>
      <w:r>
        <w:rPr>
          <w:color w:val="000000"/>
          <w:u w:val="single"/>
        </w:rPr>
        <w:t xml:space="preserve"> </w:t>
      </w:r>
      <w:r>
        <w:rPr>
          <w:rFonts w:ascii="Times New Roman" w:hAnsi="Times New Roman"/>
          <w:b/>
          <w:color w:val="000000"/>
          <w:sz w:val="24"/>
          <w:u w:val="single"/>
        </w:rPr>
        <w:t>Certificates</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The Company shall have prepared and delivered to Parent prior to the Closing a certificate signed by the Chief Executive Officer of the Company in a form reasonably acceptable to Parent setting forth, as of immediately prior to the First Effective Time (i) each holder of Company Capital Stock and Company Options, (ii) such holder’s name, electronic mail address and physical address (to the extent known), (iii) the number of Company Common Stock held and/or underlying the Company Options as of immediately prior to the First Effective Time for each such holder, and (iv) the number of shares of Parent Common Stock and/or Parent Series D Convertible Preferred Stock to be issued to such holder, or to underlie any Parent Assumed Option to be issued to such holder, pursuant to this Agreement in respect of the Company Capital Stock or Company Options held by such holder as of immediately prior to the First Effective Time (the “</w:t>
      </w:r>
      <w:r>
        <w:rPr>
          <w:rFonts w:ascii="Times New Roman" w:hAnsi="Times New Roman"/>
          <w:b/>
          <w:i/>
          <w:color w:val="000000"/>
          <w:sz w:val="24"/>
        </w:rPr>
        <w:t>Allocation Certificate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Parent has prepared and delivered to the Company prior to the Closing a certificate signed by an officer of Parent in a form reasonably acceptable to the Company, setting forth, as of immediately prior to the Reference Date (A) the number of Parent Common Stock outstanding and (B) (i) each record holder of Parent Common Stock, Parent Options and Parent RSUs, (ii) such record holder’s name and address, (iii) the number of shares of Parent Common Stock underlying the Parent Options and Parent RSUs as of the First Effective Time for such holder (the “</w:t>
      </w:r>
      <w:r>
        <w:rPr>
          <w:rFonts w:ascii="Times New Roman" w:hAnsi="Times New Roman"/>
          <w:b/>
          <w:i/>
          <w:color w:val="000000"/>
          <w:sz w:val="24"/>
        </w:rPr>
        <w:t>Parent Outstanding Shares Certificate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Takeover Statutes</w:t>
      </w:r>
      <w:r>
        <w:rPr>
          <w:rFonts w:ascii="Times New Roman" w:hAnsi="Times New Roman"/>
          <w:b/>
          <w:color w:val="000000"/>
          <w:sz w:val="24"/>
        </w:rPr>
        <w:t>.</w:t>
      </w:r>
      <w:r>
        <w:rPr>
          <w:color w:val="000000"/>
        </w:rPr>
        <w:t xml:space="preserve"> </w:t>
      </w:r>
      <w:r>
        <w:rPr>
          <w:rFonts w:ascii="Times New Roman" w:hAnsi="Times New Roman"/>
          <w:color w:val="000000"/>
          <w:sz w:val="24"/>
        </w:rPr>
        <w:t>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Parent Options</w:t>
      </w:r>
      <w:r>
        <w:rPr>
          <w:rFonts w:ascii="Times New Roman" w:hAnsi="Times New Roman"/>
          <w:b/>
          <w:color w:val="000000"/>
          <w:sz w:val="24"/>
        </w:rPr>
        <w:t>.</w:t>
      </w:r>
      <w:r>
        <w:rPr>
          <w:color w:val="000000"/>
        </w:rPr>
        <w:t xml:space="preserve"> </w:t>
      </w:r>
      <w:r>
        <w:rPr>
          <w:rFonts w:ascii="Times New Roman" w:hAnsi="Times New Roman"/>
          <w:color w:val="000000"/>
          <w:sz w:val="24"/>
        </w:rPr>
        <w:t>Each unexpired and unexercised Parent Option, whether vested or unvested, shall remain outstanding immediately after the First Effective Time in accordance with its current terms.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Obligations of Merger Subs</w:t>
      </w:r>
      <w:r>
        <w:rPr>
          <w:rFonts w:ascii="Times New Roman" w:hAnsi="Times New Roman"/>
          <w:b/>
          <w:color w:val="000000"/>
          <w:sz w:val="24"/>
        </w:rPr>
        <w:t>.</w:t>
      </w:r>
      <w:r>
        <w:rPr>
          <w:color w:val="000000"/>
        </w:rPr>
        <w:t xml:space="preserve"> </w:t>
      </w:r>
      <w:r>
        <w:rPr>
          <w:rFonts w:ascii="Times New Roman" w:hAnsi="Times New Roman"/>
          <w:color w:val="000000"/>
          <w:sz w:val="24"/>
        </w:rPr>
        <w:t>Parent shall take all action necessary to cause Merger Subs to perform their obligations under this Agreement and to consummate the Merger on the terms and conditions set forth in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Private Placement</w:t>
      </w:r>
      <w:r>
        <w:rPr>
          <w:rFonts w:ascii="Times New Roman" w:hAnsi="Times New Roman"/>
          <w:b/>
          <w:color w:val="000000"/>
          <w:sz w:val="24"/>
        </w:rPr>
        <w:t>.</w:t>
      </w:r>
      <w:r>
        <w:rPr>
          <w:color w:val="000000"/>
        </w:rPr>
        <w:t xml:space="preserve"> </w:t>
      </w:r>
      <w:r>
        <w:rPr>
          <w:rFonts w:ascii="Times New Roman" w:hAnsi="Times New Roman"/>
          <w:color w:val="000000"/>
          <w:sz w:val="24"/>
        </w:rPr>
        <w:t>Each of the Company and Parent shall take all reasonably necessary action on its part such that the issuance of the Parent Stock Payment Shares pursuant to this Agreement constitutes a transaction exempt from registration under the Securities Act in compliance with Rule 506 of Regulation D promulgated thereunder. Each certificate or book</w:t>
        <w:noBreakHyphen/>
        <w:t xml:space="preserve">entry notation representing the Parent Stock Payment Shares comprising Merger Consideration, and any shares of Parent Common Stock underlying the Parent Preferred Stock Payment Shares shall, until the earlier of (a) (i) the effectiveness of the Registration Statement covering the resale of the Parent Common Stock Payment Shares and Parent Common Stock underlying Parent Preferred Stock Payment Shares and (ii), with respect to the shares of Parent Common Stock underlying the Parent Preferred Stock Payment Shares, the approval of the Parent Stockholder Matters, and (b) (i) the date that such shares become eligible pursuant to Rule 144 under the Securities Act without volume, manner or sale or current public information limitations and (ii), with respect to the shares of Parent Common Stock underlying the Parent Preferred Stock Payment Shares, the approval of the Parent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Stockholder Matters (provided that at such time, Parent shall promptly (and in any event within two (2) Business Days thereafter) cause its transfer agent to effect the removal of such private placement legends under this </w:t>
      </w:r>
      <w:r>
        <w:rPr>
          <w:rFonts w:ascii="Times New Roman" w:hAnsi="Times New Roman"/>
          <w:color w:val="000000"/>
          <w:sz w:val="24"/>
          <w:u w:val="single"/>
        </w:rPr>
        <w:t>Section 4.17</w:t>
      </w:r>
      <w:r>
        <w:rPr>
          <w:rFonts w:ascii="Times New Roman" w:hAnsi="Times New Roman"/>
          <w:color w:val="000000"/>
          <w:sz w:val="24"/>
        </w:rPr>
        <w:t xml:space="preserve"> from such shares), bear a legend identical or similar in effect to the following legend (together with any other legend or legends required by applicable state securities applicable Law or otherwise, if any):</w:t>
      </w:r>
    </w:p>
    <w:p>
      <w:pPr>
        <w:pStyle w:val="TextBody"/>
        <w:bidi w:val="0"/>
        <w:spacing w:before="0" w:after="240"/>
        <w:jc w:val="both"/>
        <w:rPr/>
      </w:pPr>
      <w:r>
        <w:rPr>
          <w:color w:val="000000"/>
        </w:rPr>
        <w:t>“</w:t>
      </w:r>
      <w:r>
        <w:rPr>
          <w:rFonts w:ascii="Times New Roman" w:hAnsi="Times New Roman"/>
          <w:color w:val="000000"/>
          <w:sz w:val="24"/>
        </w:rPr>
        <w:t>THE SHARES REPRESENTED BY THIS CERTIFICATE HAVE NOT BEEN REGISTERED UNDER THE SECURITIES ACT OF 1933 (THE “</w:t>
      </w:r>
      <w:r>
        <w:rPr>
          <w:rFonts w:ascii="Times New Roman" w:hAnsi="Times New Roman"/>
          <w:b/>
          <w:i/>
          <w:color w:val="000000"/>
          <w:sz w:val="24"/>
        </w:rPr>
        <w:t>ACT</w:t>
      </w:r>
      <w:r>
        <w:rPr>
          <w:rFonts w:ascii="Times New Roman" w:hAnsi="Times New Roman"/>
          <w:color w:val="000000"/>
          <w:sz w:val="24"/>
        </w:rPr>
        <w:t>”</w:t>
      </w:r>
      <w:r>
        <w:rPr>
          <w:rFonts w:ascii="Times New Roman" w:hAnsi="Times New Roman"/>
          <w:b/>
          <w:i/>
          <w:color w:val="000000"/>
          <w:sz w:val="24"/>
        </w:rPr>
        <w:t xml:space="preserve">) </w:t>
      </w:r>
      <w:r>
        <w:rPr>
          <w:rFonts w:ascii="Times New Roman" w:hAnsi="Times New Roman"/>
          <w:color w:val="000000"/>
          <w:sz w:val="24"/>
        </w:rPr>
        <w:t>AND MAY NOT BE OFFERED, SOLD OR OTHERWISE TRANSFERRED, ASSIGNED, PLEDGED OR HYPOTHECATED UNLESS REGISTERED UNDER THE ACT OR UNLESS AN EXEMPTION FROM THE REGISTRATION REQUIREMENTS OF THE ACT IS AVAILABLE.”</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Section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Conditions Precedent to Obligations of Each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Date, of each of the following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No Restraints</w:t>
      </w:r>
      <w:r>
        <w:rPr>
          <w:rFonts w:ascii="Times New Roman" w:hAnsi="Times New Roman"/>
          <w:b/>
          <w:color w:val="000000"/>
          <w:sz w:val="24"/>
        </w:rPr>
        <w:t>.</w:t>
      </w:r>
      <w:r>
        <w:rPr>
          <w:color w:val="000000"/>
        </w:rPr>
        <w:t xml:space="preserve"> </w:t>
      </w:r>
      <w:r>
        <w:rPr>
          <w:rFonts w:ascii="Times New Roman" w:hAnsi="Times New Roman"/>
          <w:color w:val="000000"/>
          <w:sz w:val="24"/>
        </w:rPr>
        <w:t>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Series D Certificate of Designation</w:t>
      </w:r>
      <w:r>
        <w:rPr>
          <w:rFonts w:ascii="Times New Roman" w:hAnsi="Times New Roman"/>
          <w:b/>
          <w:color w:val="000000"/>
          <w:sz w:val="24"/>
        </w:rPr>
        <w:t>.</w:t>
      </w:r>
      <w:r>
        <w:rPr>
          <w:color w:val="000000"/>
        </w:rPr>
        <w:t xml:space="preserve"> </w:t>
      </w:r>
      <w:r>
        <w:rPr>
          <w:rFonts w:ascii="Times New Roman" w:hAnsi="Times New Roman"/>
          <w:color w:val="000000"/>
          <w:sz w:val="24"/>
        </w:rPr>
        <w:t>Parent shall have filed the Series D Certificate of Designation with the Secretary of State of the State of Delaware.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Parent Financing</w:t>
      </w:r>
      <w:r>
        <w:rPr>
          <w:rFonts w:ascii="Times New Roman" w:hAnsi="Times New Roman"/>
          <w:color w:val="000000"/>
          <w:sz w:val="24"/>
        </w:rPr>
        <w:t>. The Securities Purchase Agreement shall be in full force and effect and cash proceeds not less than the Concurrent Investment Amount shall have been received by Parent, or will be received by Parent in accordance with the terms of the Securities Purchase Agreement, in connection with the consummation of the transactions contemplated by the Securities Purchase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Section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 xml:space="preserve">Closing Deliveries of the Company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Documents</w:t>
      </w:r>
      <w:r>
        <w:rPr>
          <w:rFonts w:ascii="Times New Roman" w:hAnsi="Times New Roman"/>
          <w:b/>
          <w:color w:val="000000"/>
          <w:sz w:val="24"/>
        </w:rPr>
        <w:t>.</w:t>
      </w:r>
      <w:r>
        <w:rPr>
          <w:color w:val="000000"/>
        </w:rPr>
        <w:t xml:space="preserve"> </w:t>
      </w:r>
      <w:r>
        <w:rPr>
          <w:rFonts w:ascii="Times New Roman" w:hAnsi="Times New Roman"/>
          <w:color w:val="000000"/>
          <w:sz w:val="24"/>
        </w:rPr>
        <w:t>Parent shall have received the following documents, each of which shall be in full force and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written resignation, in a form reasonably satisfactory to Parent, dated as of the Closing Date and effective as of the Closing, executed by the director of the Company listed in </w:t>
      </w:r>
      <w:r>
        <w:rPr>
          <w:rFonts w:ascii="Times New Roman" w:hAnsi="Times New Roman"/>
          <w:color w:val="000000"/>
          <w:sz w:val="24"/>
          <w:u w:val="single"/>
        </w:rPr>
        <w:t>Section 6.1(a)</w:t>
      </w:r>
      <w:r>
        <w:rPr>
          <w:rFonts w:ascii="Times New Roman" w:hAnsi="Times New Roman"/>
          <w:color w:val="000000"/>
          <w:sz w:val="24"/>
        </w:rPr>
        <w:t xml:space="preserve"> of the Company Disclosure Schedule;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Allocation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FIRPTA Certificate</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Parent shall have received (i)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Sections 1.1445-2(c)(3) and 1.897-2(h), and (ii) an original signed notice to be delivered to the IRS in accordance with the provisions of Treasury Regulations 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 </w:t>
      </w:r>
      <w:r>
        <w:rPr>
          <w:rFonts w:ascii="Times New Roman" w:hAnsi="Times New Roman"/>
          <w:i/>
          <w:color w:val="000000"/>
          <w:sz w:val="24"/>
        </w:rPr>
        <w:t>provided</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that Parent’s sole remedy for the Company’s failure to deliver such documentation shall be to withhold pursuant to </w:t>
      </w:r>
      <w:r>
        <w:rPr>
          <w:rFonts w:ascii="Times New Roman" w:hAnsi="Times New Roman"/>
          <w:color w:val="000000"/>
          <w:sz w:val="24"/>
          <w:u w:val="single"/>
        </w:rPr>
        <w:t>Section 1.10</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Company Lock-Up Agreements</w:t>
      </w:r>
      <w:r>
        <w:rPr>
          <w:rFonts w:ascii="Times New Roman" w:hAnsi="Times New Roman"/>
          <w:b/>
          <w:color w:val="000000"/>
          <w:sz w:val="24"/>
        </w:rPr>
        <w:t>.</w:t>
      </w:r>
      <w:r>
        <w:rPr>
          <w:color w:val="000000"/>
        </w:rPr>
        <w:t xml:space="preserve"> </w:t>
      </w:r>
      <w:r>
        <w:rPr>
          <w:rFonts w:ascii="Times New Roman" w:hAnsi="Times New Roman"/>
          <w:color w:val="000000"/>
          <w:sz w:val="24"/>
        </w:rPr>
        <w:t>Parent shall have received the Lock-Up Agreements duly executed by each of the Company Signatories, each of which shall be in full force and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Section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Closing Deliveries of Parent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Documents</w:t>
      </w:r>
      <w:r>
        <w:rPr>
          <w:rFonts w:ascii="Times New Roman" w:hAnsi="Times New Roman"/>
          <w:b/>
          <w:color w:val="000000"/>
          <w:sz w:val="24"/>
        </w:rPr>
        <w:t>.</w:t>
      </w:r>
      <w:r>
        <w:rPr>
          <w:color w:val="000000"/>
        </w:rPr>
        <w:t xml:space="preserve"> </w:t>
      </w:r>
      <w:r>
        <w:rPr>
          <w:rFonts w:ascii="Times New Roman" w:hAnsi="Times New Roman"/>
          <w:color w:val="000000"/>
          <w:sz w:val="24"/>
        </w:rPr>
        <w:t>The Company shall have received the following documents, each of which shall be in full force and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Parent Outstanding Shares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written resignation, in a form reasonably satisfactory to the Company, dated as of the Closing Date and effective as of the Closing, executed by each of the officers and directors of Parent who are not to continue as officers or directors, as the case may be, of Parent after the Closing pursuant to </w:t>
      </w:r>
      <w:r>
        <w:rPr>
          <w:rFonts w:ascii="Times New Roman" w:hAnsi="Times New Roman"/>
          <w:color w:val="000000"/>
          <w:sz w:val="24"/>
          <w:u w:val="single"/>
        </w:rPr>
        <w:t>Section 4.10</w:t>
      </w:r>
      <w:r>
        <w:rPr>
          <w:rFonts w:ascii="Times New Roman" w:hAnsi="Times New Roman"/>
          <w:color w:val="000000"/>
          <w:sz w:val="24"/>
        </w:rPr>
        <w:t xml:space="preserve"> hereof;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certified copies of the resolutions duly adopted by the Parent Board and in full force and effect as of the Closing authorizing the appointment of the directors and officers set forth in </w:t>
      </w:r>
      <w:r>
        <w:rPr>
          <w:rFonts w:ascii="Times New Roman" w:hAnsi="Times New Roman"/>
          <w:color w:val="000000"/>
          <w:sz w:val="24"/>
          <w:u w:val="single"/>
        </w:rPr>
        <w:t>Section 4.10</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Parent Lock-Up Agreements</w:t>
      </w:r>
      <w:r>
        <w:rPr>
          <w:rFonts w:ascii="Times New Roman" w:hAnsi="Times New Roman"/>
          <w:b/>
          <w:color w:val="000000"/>
          <w:sz w:val="24"/>
        </w:rPr>
        <w:t>.</w:t>
      </w:r>
      <w:r>
        <w:rPr>
          <w:color w:val="000000"/>
        </w:rPr>
        <w:t xml:space="preserve"> </w:t>
      </w:r>
      <w:r>
        <w:rPr>
          <w:rFonts w:ascii="Times New Roman" w:hAnsi="Times New Roman"/>
          <w:color w:val="000000"/>
          <w:sz w:val="24"/>
        </w:rPr>
        <w:t>The Company shall have received the Lock-Up Agreements duly executed by each of the Parent Signatories, each of which shall be in full force and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Section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Miscellaneous Provisions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Non-Survival of Representations and Warranties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shall survive the First Effective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Amendment</w:t>
      </w:r>
      <w:r>
        <w:rPr>
          <w:rFonts w:ascii="Times New Roman" w:hAnsi="Times New Roman"/>
          <w:b/>
          <w:color w:val="000000"/>
          <w:sz w:val="24"/>
        </w:rPr>
        <w:t xml:space="preserve">. </w:t>
      </w:r>
      <w:r>
        <w:rPr>
          <w:rFonts w:ascii="Times New Roman" w:hAnsi="Times New Roman"/>
          <w:color w:val="000000"/>
          <w:sz w:val="24"/>
        </w:rPr>
        <w:t xml:space="preserve">Until the Required Parent Stockholder Votes have been obtained in accordance with the terms of this Agreement, this Agreement may not be amended in any manner that is disproportionately material and adverse to (i) the holders of Parent Common Stock issued and outstanding immediately prior to the First Effective Time, or any Person who is or has been prior to the First Effective Time a director or officer of Parent or any of its Subsidiaries without the prior written approval of a majority of the holders of the Parent Common Stock issued and outstanding immediately prior to the First Effective Time or (ii) the holders of Company Capital Stock issued and outstanding as of immediately prior to the First Effective Time, or any Person who is or has been prior to the First Effective Time a director or officer of the Company, without the prior written approval of the Required Company Stockholder Vote. After the Required Parent Stockholder Votes have been obtained, this Agreement may be amended with the written approval of the board of directors of Parent, which shall include the written approval of the Company Designee, and the sole member of the Surviving Entity at any time; </w:t>
      </w:r>
      <w:r>
        <w:rPr>
          <w:rFonts w:ascii="Times New Roman" w:hAnsi="Times New Roman"/>
          <w:i/>
          <w:color w:val="000000"/>
          <w:sz w:val="24"/>
        </w:rPr>
        <w:t>provided,</w:t>
      </w:r>
      <w:r>
        <w:rPr>
          <w:color w:val="000000"/>
        </w:rPr>
        <w:t xml:space="preserve"> </w:t>
      </w:r>
      <w:r>
        <w:rPr>
          <w:rFonts w:ascii="Times New Roman" w:hAnsi="Times New Roman"/>
          <w:i/>
          <w:color w:val="000000"/>
          <w:sz w:val="24"/>
        </w:rPr>
        <w:t>however</w:t>
      </w:r>
      <w:r>
        <w:rPr>
          <w:rFonts w:ascii="Times New Roman" w:hAnsi="Times New Roman"/>
          <w:color w:val="000000"/>
          <w:sz w:val="24"/>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Surviving Entity and Parent.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Waiver</w:t>
      </w:r>
      <w:r>
        <w:rPr>
          <w:rFonts w:ascii="Times New Roman" w:hAnsi="Times New Roman"/>
          <w:color w:val="000000"/>
          <w:sz w:val="24"/>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Entire Agreement; Counterparts; Exchanges by Electronic Transmission</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i/>
          <w:color w:val="000000"/>
          <w:sz w:val="24"/>
        </w:rPr>
        <w:t xml:space="preserve">provided, however, </w:t>
      </w:r>
      <w:r>
        <w:rPr>
          <w:rFonts w:ascii="Times New Roman" w:hAnsi="Times New Roman"/>
          <w:color w:val="000000"/>
          <w:sz w:val="24"/>
        </w:rPr>
        <w:t>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Applicable Law; Jurisdiction</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Contemplated Transactions,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Times New Roman" w:hAnsi="Times New Roman"/>
          <w:color w:val="000000"/>
          <w:sz w:val="24"/>
          <w:u w:val="single"/>
        </w:rPr>
        <w:t>Section 8.5;</w:t>
      </w:r>
      <w:r>
        <w:rPr>
          <w:rFonts w:ascii="Times New Roman" w:hAnsi="Times New Roman"/>
          <w:color w:val="000000"/>
          <w:sz w:val="24"/>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color w:val="000000"/>
          <w:sz w:val="24"/>
          <w:u w:val="single"/>
        </w:rPr>
        <w:t>Section 8.8</w:t>
      </w:r>
      <w:r>
        <w:rPr>
          <w:rFonts w:ascii="Times New Roman" w:hAnsi="Times New Roman"/>
          <w:color w:val="000000"/>
          <w:sz w:val="24"/>
        </w:rPr>
        <w:t xml:space="preserve"> of this Agreement; and (f) irrevocably and unconditionally waives the right to trial by jury.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Attorneys’ Fees</w:t>
      </w:r>
      <w:r>
        <w:rPr>
          <w:rFonts w:ascii="Times New Roman" w:hAnsi="Times New Roman"/>
          <w:b/>
          <w:color w:val="000000"/>
          <w:sz w:val="24"/>
        </w:rPr>
        <w:t>.</w:t>
      </w:r>
      <w:r>
        <w:rPr>
          <w:color w:val="000000"/>
        </w:rPr>
        <w:t xml:space="preserve"> </w:t>
      </w:r>
      <w:r>
        <w:rPr>
          <w:rFonts w:ascii="Times New Roman" w:hAnsi="Times New Roman"/>
          <w:color w:val="000000"/>
          <w:sz w:val="24"/>
        </w:rPr>
        <w:t>In any action at law or suit in equity to enforce this Agreement or the rights of any of the Parties, the prevailing Party in such action or suit (as determined by a court of competent jurisdiction) shall be entitled to recover its reasonable out</w:t>
        <w:noBreakHyphen/>
        <w:t>of-pocket attorneys’ fees and all other reasonable costs and expenses incurred in such action or suit.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Assignability</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This Agreement shall be binding upon, and shall be enforceable by and inure solely to the benefit of, the Parties and their respective successors and permitted assigns; </w:t>
      </w:r>
      <w:r>
        <w:rPr>
          <w:rFonts w:ascii="Times New Roman" w:hAnsi="Times New Roman"/>
          <w:i/>
          <w:color w:val="000000"/>
          <w:sz w:val="24"/>
        </w:rPr>
        <w:t xml:space="preserve">provided, however, </w:t>
      </w:r>
      <w:r>
        <w:rPr>
          <w:rFonts w:ascii="Times New Roman" w:hAnsi="Times New Roman"/>
          <w:color w:val="000000"/>
          <w:sz w:val="24"/>
        </w:rPr>
        <w:t>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Notices</w:t>
      </w:r>
      <w:r>
        <w:rPr>
          <w:rFonts w:ascii="Times New Roman" w:hAnsi="Times New Roman"/>
          <w:b/>
          <w:color w:val="000000"/>
          <w:sz w:val="24"/>
        </w:rPr>
        <w:t>.</w:t>
      </w:r>
      <w:r>
        <w:rPr>
          <w:color w:val="000000"/>
        </w:rPr>
        <w:t xml:space="preserve"> </w:t>
      </w:r>
      <w:r>
        <w:rPr>
          <w:rFonts w:ascii="Times New Roman" w:hAnsi="Times New Roman"/>
          <w:color w:val="000000"/>
          <w:sz w:val="24"/>
        </w:rPr>
        <w:t>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otherwise on the next succeeding Business Day, in each case to the intended recipient as set forth below: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if to Parent or Merger Subs:</w:t>
        <w:br/>
        <w:br/>
        <w:t>Bolt Biotherapeutics, Inc.</w:t>
        <w:br/>
        <w:t>900 Chesapeake Drive</w:t>
      </w:r>
    </w:p>
    <w:p>
      <w:pPr>
        <w:pStyle w:val="TextBody"/>
        <w:bidi w:val="0"/>
        <w:jc w:val="left"/>
        <w:rPr>
          <w:rFonts w:ascii="Times New Roman" w:hAnsi="Times New Roman"/>
          <w:sz w:val="22"/>
        </w:rPr>
      </w:pPr>
      <w:r>
        <w:rPr>
          <w:rFonts w:ascii="Times New Roman" w:hAnsi="Times New Roman"/>
          <w:color w:val="000000"/>
          <w:sz w:val="24"/>
        </w:rPr>
        <w:t>Redwood City, CA 94063</w:t>
        <w:br/>
        <w:t>Attention: William Quinn</w:t>
        <w:br/>
        <w:t xml:space="preserve">Email: </w:t>
      </w:r>
      <w:r>
        <w:rPr>
          <w:rFonts w:ascii="Times New Roman" w:hAnsi="Times New Roman"/>
          <w:color w:val="000000"/>
          <w:sz w:val="22"/>
        </w:rPr>
        <w:t>notice@boltbio.com</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 (which shall not constitute notice):</w:t>
      </w:r>
    </w:p>
    <w:p>
      <w:pPr>
        <w:pStyle w:val="TextBody"/>
        <w:bidi w:val="0"/>
        <w:jc w:val="left"/>
        <w:rPr>
          <w:rFonts w:ascii="Times New Roman" w:hAnsi="Times New Roman"/>
          <w:color w:val="000000"/>
          <w:sz w:val="24"/>
        </w:rPr>
      </w:pPr>
      <w:r>
        <w:rPr>
          <w:rFonts w:ascii="Times New Roman" w:hAnsi="Times New Roman"/>
          <w:color w:val="000000"/>
          <w:sz w:val="24"/>
        </w:rPr>
        <w:t xml:space="preserve">Sidley Austin LLP </w:t>
      </w:r>
    </w:p>
    <w:p>
      <w:pPr>
        <w:pStyle w:val="TextBody"/>
        <w:bidi w:val="0"/>
        <w:jc w:val="left"/>
        <w:rPr>
          <w:rFonts w:ascii="Times New Roman" w:hAnsi="Times New Roman"/>
          <w:color w:val="000000"/>
          <w:sz w:val="24"/>
        </w:rPr>
      </w:pPr>
      <w:r>
        <w:rPr>
          <w:rFonts w:ascii="Times New Roman" w:hAnsi="Times New Roman"/>
          <w:color w:val="000000"/>
          <w:sz w:val="24"/>
        </w:rPr>
        <w:t>101 California Street, 35th Floor</w:t>
      </w:r>
    </w:p>
    <w:p>
      <w:pPr>
        <w:pStyle w:val="TextBody"/>
        <w:bidi w:val="0"/>
        <w:jc w:val="left"/>
        <w:rPr>
          <w:rFonts w:ascii="Times New Roman" w:hAnsi="Times New Roman"/>
          <w:color w:val="000000"/>
          <w:sz w:val="24"/>
        </w:rPr>
      </w:pPr>
      <w:r>
        <w:rPr>
          <w:rFonts w:ascii="Times New Roman" w:hAnsi="Times New Roman"/>
          <w:color w:val="000000"/>
          <w:sz w:val="24"/>
        </w:rPr>
        <w:t>San Francisco, CA 94111</w:t>
        <w:br/>
        <w:t>Attention: Frank Rahmani and Nick DeAngelis</w:t>
        <w:br/>
        <w:t>Email: frahmani@sidley.com; ndeangelis@sidley.com</w:t>
      </w:r>
    </w:p>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the Company:</w:t>
      </w:r>
    </w:p>
    <w:p>
      <w:pPr>
        <w:pStyle w:val="TextBody"/>
        <w:bidi w:val="0"/>
        <w:jc w:val="left"/>
        <w:rPr>
          <w:rFonts w:ascii="Times New Roman" w:hAnsi="Times New Roman"/>
          <w:color w:val="000000"/>
          <w:sz w:val="24"/>
        </w:rPr>
      </w:pPr>
      <w:r>
        <w:rPr>
          <w:rFonts w:ascii="Times New Roman" w:hAnsi="Times New Roman"/>
          <w:color w:val="000000"/>
          <w:sz w:val="24"/>
        </w:rPr>
        <w:t>Prana Therapies, Inc.</w:t>
        <w:br/>
        <w:t>378 Neptune Avenue</w:t>
      </w:r>
    </w:p>
    <w:p>
      <w:pPr>
        <w:pStyle w:val="TextBody"/>
        <w:bidi w:val="0"/>
        <w:jc w:val="left"/>
        <w:rPr>
          <w:rFonts w:ascii="Times New Roman" w:hAnsi="Times New Roman"/>
          <w:color w:val="000000"/>
          <w:sz w:val="24"/>
        </w:rPr>
      </w:pPr>
      <w:r>
        <w:rPr>
          <w:rFonts w:ascii="Times New Roman" w:hAnsi="Times New Roman"/>
          <w:color w:val="000000"/>
          <w:sz w:val="24"/>
        </w:rPr>
        <w:t>Encinitas, CA 92024</w:t>
        <w:br/>
        <w:t xml:space="preserve">Attention: Sheila Gujrathi </w:t>
        <w:br/>
        <w:t>Email: sgujrathi@pranatherapies.com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to (which shall not constitute notice):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Cooley LLP</w:t>
      </w:r>
    </w:p>
    <w:p>
      <w:pPr>
        <w:pStyle w:val="TextBody"/>
        <w:bidi w:val="0"/>
        <w:jc w:val="left"/>
        <w:rPr>
          <w:rFonts w:ascii="Times New Roman" w:hAnsi="Times New Roman"/>
          <w:color w:val="000000"/>
          <w:sz w:val="24"/>
        </w:rPr>
      </w:pPr>
      <w:r>
        <w:rPr>
          <w:rFonts w:ascii="Times New Roman" w:hAnsi="Times New Roman"/>
          <w:color w:val="000000"/>
          <w:sz w:val="24"/>
        </w:rPr>
        <w:t>10265 Science Center Dr</w:t>
      </w:r>
    </w:p>
    <w:p>
      <w:pPr>
        <w:pStyle w:val="TextBody"/>
        <w:bidi w:val="0"/>
        <w:jc w:val="left"/>
        <w:rPr>
          <w:rFonts w:ascii="Times New Roman" w:hAnsi="Times New Roman"/>
          <w:color w:val="000000"/>
          <w:sz w:val="24"/>
        </w:rPr>
      </w:pPr>
      <w:r>
        <w:rPr>
          <w:rFonts w:ascii="Times New Roman" w:hAnsi="Times New Roman"/>
          <w:color w:val="000000"/>
          <w:sz w:val="24"/>
        </w:rPr>
        <w:t>San Diego, CA 92121</w:t>
      </w:r>
    </w:p>
    <w:p>
      <w:pPr>
        <w:pStyle w:val="TextBody"/>
        <w:bidi w:val="0"/>
        <w:jc w:val="left"/>
        <w:rPr>
          <w:rFonts w:ascii="Times New Roman" w:hAnsi="Times New Roman"/>
          <w:color w:val="000000"/>
          <w:sz w:val="24"/>
        </w:rPr>
      </w:pPr>
      <w:r>
        <w:rPr>
          <w:rFonts w:ascii="Times New Roman" w:hAnsi="Times New Roman"/>
          <w:color w:val="000000"/>
          <w:sz w:val="24"/>
        </w:rPr>
        <w:t>Attention: Rama Padmanabhan; Ken Rollins; Madison Jones</w:t>
      </w:r>
    </w:p>
    <w:p>
      <w:pPr>
        <w:pStyle w:val="TextBody"/>
        <w:bidi w:val="0"/>
        <w:jc w:val="left"/>
        <w:rPr>
          <w:rFonts w:ascii="Times New Roman" w:hAnsi="Times New Roman"/>
          <w:color w:val="000000"/>
          <w:sz w:val="24"/>
        </w:rPr>
      </w:pPr>
      <w:r>
        <w:rPr>
          <w:rFonts w:ascii="Times New Roman" w:hAnsi="Times New Roman"/>
          <w:color w:val="000000"/>
          <w:sz w:val="24"/>
        </w:rPr>
        <w:t>Email address: rama@cooley.com; krollins@cooley.com; madison.jones@cooley.com</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Cooperation</w:t>
      </w:r>
      <w:r>
        <w:rPr>
          <w:rFonts w:ascii="Times New Roman" w:hAnsi="Times New Roman"/>
          <w:b/>
          <w:color w:val="000000"/>
          <w:sz w:val="24"/>
        </w:rPr>
        <w:t>.</w:t>
      </w:r>
      <w:r>
        <w:rPr>
          <w:color w:val="000000"/>
        </w:rPr>
        <w:t xml:space="preserve"> </w:t>
      </w:r>
      <w:r>
        <w:rPr>
          <w:rFonts w:ascii="Times New Roman" w:hAnsi="Times New Roman"/>
          <w:color w:val="000000"/>
          <w:sz w:val="24"/>
        </w:rPr>
        <w:t>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Severability</w:t>
      </w:r>
      <w:r>
        <w:rPr>
          <w:rFonts w:ascii="Times New Roman" w:hAnsi="Times New Roman"/>
          <w:b/>
          <w:color w:val="000000"/>
          <w:sz w:val="24"/>
        </w:rPr>
        <w:t>.</w:t>
      </w:r>
      <w:r>
        <w:rPr>
          <w:color w:val="000000"/>
        </w:rPr>
        <w:t xml:space="preserve"> </w:t>
      </w:r>
      <w:r>
        <w:rPr>
          <w:rFonts w:ascii="Times New Roman" w:hAnsi="Times New Roman"/>
          <w:color w:val="000000"/>
          <w:sz w:val="24"/>
        </w:rPr>
        <w:t>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Other Remedies; Specific Performance</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or other security in connection with any such order or injunction.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No Third-Party Beneficiaries; Non-Recourse</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Nothing in this Agreement, express or implied, is intended to or shall confer upon any Person (other than the Parties and the D&amp;O Indemnified Parties to the extent of their respective rights pursuant to </w:t>
      </w:r>
      <w:r>
        <w:rPr>
          <w:rFonts w:ascii="Times New Roman" w:hAnsi="Times New Roman"/>
          <w:color w:val="000000"/>
          <w:sz w:val="24"/>
          <w:u w:val="single"/>
        </w:rPr>
        <w:t>Section 4.5)</w:t>
      </w:r>
      <w:r>
        <w:rPr>
          <w:color w:val="000000"/>
        </w:rPr>
        <w:t xml:space="preserve"> </w:t>
      </w:r>
      <w:r>
        <w:rPr>
          <w:rFonts w:ascii="Times New Roman" w:hAnsi="Times New Roman"/>
          <w:color w:val="000000"/>
          <w:sz w:val="24"/>
        </w:rPr>
        <w:t xml:space="preserve">any right, benefit or remedy of any nature whatsoever under or by reason of this Agreement. This Agreement may only be enforced against, and any claim or cause of action based upon, arising out of, or related to this Agreement or the transactions contemplated hereby may only be brought against, the Parties. No past, present or future director, manager, officer, employee, incorporator, equityholder, agent, attorney, advisor or representative of any Party (or of any Affiliate of any Party) shall have any liability (whether in contract, tort, equity or otherwise) for any representation, warranty, covenant, agreement or other obligation or liability under this Agreement (whether for indemnification or otherwise) or for any claim based on, arising out of, or related to this Agreement or any transaction contemplated hereby. Notwithstanding anything to the contrary, this </w:t>
      </w:r>
      <w:r>
        <w:rPr>
          <w:rFonts w:ascii="Times New Roman" w:hAnsi="Times New Roman"/>
          <w:color w:val="000000"/>
          <w:sz w:val="24"/>
          <w:u w:val="single"/>
        </w:rPr>
        <w:t>Section 8.12</w:t>
      </w:r>
      <w:r>
        <w:rPr>
          <w:color w:val="000000"/>
        </w:rPr>
        <w:t xml:space="preserve"> </w:t>
      </w:r>
      <w:r>
        <w:rPr>
          <w:rFonts w:ascii="Times New Roman" w:hAnsi="Times New Roman"/>
          <w:color w:val="000000"/>
          <w:sz w:val="24"/>
        </w:rPr>
        <w:t>shall not limit any liability or obligation of, or any remedy or recourse against, any party hereto or under the Parent Stockholder Support Agreements.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Construction</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References to “cash,” “dollars” or “$” are to U.S. dollars.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this Agreement, the words “include” and “including,” and variations thereof, shall not be deemed to be terms of limitation, but rather shall be deemed to be followed by the words “without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indicated, all references in this Agreement to “Sections,” “Exhibits” and “Schedules” are intended to refer to Sections of this Agreement and Exhibits and Schedules to this Agreement, respectively.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reference to legislation or to any provision of any legislation shall include any modification, amendment, re-enactment thereof, any legislative provision substituted therefor, and all rules, regulations, and statutory instruments issued or related to such legislations.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inclusion of any information in the Company Disclosure Schedule or Parent Disclosure Schedule shall not be deemed an admission or acknowledgment to any third party, in and of itself and solely by virtue of the inclusion of such information in the Company Disclosure Schedule or Parent Disclosure Schedule, as applicable, that such information is required to be listed in the Company Disclosure Schedule or Parent Disclosure Schedule, as applicable, that such items are material to the Company and its Subsidiaries, taken as a whole, or Parent and its Subsidiaries, taken as a whole, as the case may be, or that such items have resulted in a Company Material Adverse Effect or a Parent Material Adverse Effect.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“delivered” or “made available” means, with respect to any documentation, that (i) prior to 9:00 a.m. (Pacific Time) on the date of this Agreement (A) a copy of such material has been posted to and made available by a Party to the other Party and its Representatives in the electronic data room maintained by such disclosing Party or (B) such material is disclosed in the Parent SEC Documents filed with the SEC prior to the date hereof and publicly made available on the SEC’s Electronic Data Gathering Analysis and Retrieval system or (ii) delivered by or on behalf of a Party or its Representatives via electronic mail or in hard copy form prior to the execution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the last day for the exercise of any privilege or the discharge of any duty hereunder shall fall upon a Saturday, Sunday, or any date on which banks in New York, New York or San Diego, California, are authorized or obligated by Law to be closed, the Party having such privilege or duty may exercise such privilege or discharge such duty on the next succeeding day which is a regular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u w:val="single"/>
        </w:rPr>
        <w:t>Expenses</w:t>
      </w:r>
      <w:r>
        <w:rPr>
          <w:rFonts w:ascii="Times New Roman" w:hAnsi="Times New Roman"/>
          <w:b/>
          <w:color w:val="000000"/>
          <w:sz w:val="24"/>
        </w:rPr>
        <w:t>.</w:t>
      </w:r>
      <w:r>
        <w:rPr>
          <w:color w:val="000000"/>
        </w:rPr>
        <w:t xml:space="preserve"> </w:t>
      </w:r>
      <w:r>
        <w:rPr>
          <w:rFonts w:ascii="Times New Roman" w:hAnsi="Times New Roman"/>
          <w:color w:val="000000"/>
          <w:sz w:val="24"/>
        </w:rPr>
        <w:t>Except as otherwise expressly provided in this Agreement, all expenses incurred in connection with this Agreement and the Contemplated Transactions will be paid by the Party incurring such expenses.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IN WITNESS WHEREOF, </w:t>
      </w:r>
      <w:r>
        <w:rPr>
          <w:rFonts w:ascii="Times New Roman" w:hAnsi="Times New Roman"/>
          <w:color w:val="000000"/>
          <w:sz w:val="24"/>
        </w:rPr>
        <w:t>the Parties have caused this Agreement to be executed as of the date first above written.</w:t>
      </w:r>
    </w:p>
    <w:tbl>
      <w:tblPr>
        <w:tblW w:w="3504" w:type="dxa"/>
        <w:jc w:val="left"/>
        <w:tblInd w:w="0" w:type="dxa"/>
        <w:tblLayout w:type="fixed"/>
        <w:tblCellMar>
          <w:top w:w="28" w:type="dxa"/>
          <w:left w:w="28" w:type="dxa"/>
          <w:bottom w:w="28" w:type="dxa"/>
          <w:right w:w="28" w:type="dxa"/>
        </w:tblCellMar>
      </w:tblPr>
      <w:tblGrid>
        <w:gridCol w:w="161"/>
        <w:gridCol w:w="146"/>
        <w:gridCol w:w="451"/>
        <w:gridCol w:w="27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Bolt Biotherapeutics,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7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smallCaps/>
                <w:color w:val="000000"/>
                <w:sz w:val="20"/>
              </w:rPr>
            </w:pPr>
            <w:r>
              <w:rPr>
                <w:rFonts w:ascii="Times New Roman" w:hAnsi="Times New Roman"/>
                <w:smallCaps/>
                <w:color w:val="000000"/>
                <w:sz w:val="20"/>
              </w:rPr>
              <w:t>/s/ William P. Quinn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William P. Quinn</w:t>
              <w:br/>
              <w:t>Title: Chief Executive Officer</w:t>
            </w:r>
          </w:p>
        </w:tc>
      </w:tr>
    </w:tbl>
    <w:p>
      <w:pPr>
        <w:pStyle w:val="TextBody"/>
        <w:bidi w:val="0"/>
        <w:jc w:val="left"/>
        <w:rPr/>
      </w:pPr>
      <w:r>
        <w:rPr/>
        <w:t> </w:t>
      </w:r>
    </w:p>
    <w:tbl>
      <w:tblPr>
        <w:tblW w:w="3579" w:type="dxa"/>
        <w:jc w:val="left"/>
        <w:tblInd w:w="0" w:type="dxa"/>
        <w:tblLayout w:type="fixed"/>
        <w:tblCellMar>
          <w:top w:w="28" w:type="dxa"/>
          <w:left w:w="28" w:type="dxa"/>
          <w:bottom w:w="28" w:type="dxa"/>
          <w:right w:w="28" w:type="dxa"/>
        </w:tblCellMar>
      </w:tblPr>
      <w:tblGrid>
        <w:gridCol w:w="161"/>
        <w:gridCol w:w="146"/>
        <w:gridCol w:w="451"/>
        <w:gridCol w:w="28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PRINCE MERGER SUB I,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smallCaps/>
                <w:color w:val="000000"/>
                <w:sz w:val="20"/>
              </w:rPr>
            </w:pPr>
            <w:r>
              <w:rPr>
                <w:rFonts w:ascii="Times New Roman" w:hAnsi="Times New Roman"/>
                <w:smallCaps/>
                <w:color w:val="000000"/>
                <w:sz w:val="20"/>
              </w:rPr>
              <w:t>/s/ William P. Quinn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William P. Quinn</w:t>
              <w:br/>
              <w:t>Title: President</w:t>
            </w:r>
          </w:p>
        </w:tc>
      </w:tr>
    </w:tbl>
    <w:p>
      <w:pPr>
        <w:pStyle w:val="TextBody"/>
        <w:bidi w:val="0"/>
        <w:jc w:val="left"/>
        <w:rPr/>
      </w:pPr>
      <w:r>
        <w:rPr/>
        <w:t> </w:t>
      </w:r>
    </w:p>
    <w:tbl>
      <w:tblPr>
        <w:tblW w:w="3654" w:type="dxa"/>
        <w:jc w:val="left"/>
        <w:tblInd w:w="0" w:type="dxa"/>
        <w:tblLayout w:type="fixed"/>
        <w:tblCellMar>
          <w:top w:w="28" w:type="dxa"/>
          <w:left w:w="28" w:type="dxa"/>
          <w:bottom w:w="28" w:type="dxa"/>
          <w:right w:w="28" w:type="dxa"/>
        </w:tblCellMar>
      </w:tblPr>
      <w:tblGrid>
        <w:gridCol w:w="161"/>
        <w:gridCol w:w="146"/>
        <w:gridCol w:w="451"/>
        <w:gridCol w:w="28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PRINCE MERGER SUB II,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89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smallCaps/>
                <w:color w:val="000000"/>
                <w:sz w:val="20"/>
              </w:rPr>
            </w:pPr>
            <w:r>
              <w:rPr>
                <w:rFonts w:ascii="Times New Roman" w:hAnsi="Times New Roman"/>
                <w:smallCaps/>
                <w:color w:val="000000"/>
                <w:sz w:val="20"/>
              </w:rPr>
              <w:t>/s/ William P. Quinn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William P. Quinn</w:t>
              <w:br/>
              <w:t>Title: President</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Signature Page to Agreement and Plan of Merger</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IN WITNESS WHEREOF, </w:t>
      </w:r>
      <w:r>
        <w:rPr>
          <w:rFonts w:ascii="Times New Roman" w:hAnsi="Times New Roman"/>
          <w:color w:val="000000"/>
          <w:sz w:val="24"/>
        </w:rPr>
        <w:t>the Parties have caused this Agreement to be executed as of the date first above written.</w:t>
      </w:r>
    </w:p>
    <w:tbl>
      <w:tblPr>
        <w:tblW w:w="3324" w:type="dxa"/>
        <w:jc w:val="left"/>
        <w:tblInd w:w="0" w:type="dxa"/>
        <w:tblLayout w:type="fixed"/>
        <w:tblCellMar>
          <w:top w:w="28" w:type="dxa"/>
          <w:left w:w="28" w:type="dxa"/>
          <w:bottom w:w="28" w:type="dxa"/>
          <w:right w:w="28" w:type="dxa"/>
        </w:tblCellMar>
      </w:tblPr>
      <w:tblGrid>
        <w:gridCol w:w="161"/>
        <w:gridCol w:w="146"/>
        <w:gridCol w:w="451"/>
        <w:gridCol w:w="256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PRANA THERAPIES,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56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smallCaps/>
                <w:color w:val="000000"/>
                <w:sz w:val="20"/>
              </w:rPr>
            </w:pPr>
            <w:r>
              <w:rPr>
                <w:rFonts w:ascii="Times New Roman" w:hAnsi="Times New Roman"/>
                <w:smallCaps/>
                <w:color w:val="000000"/>
                <w:sz w:val="20"/>
              </w:rPr>
              <w:t>/s/ Sheila Gujrathi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Sheila Gujrathi</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Signature Page to Agreement and Plan of Merger</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CERTAIN DEFINITIONS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 purposes of this Agreement (including this </w:t>
      </w:r>
      <w:r>
        <w:rPr>
          <w:rFonts w:ascii="Times New Roman" w:hAnsi="Times New Roman"/>
          <w:color w:val="000000"/>
          <w:sz w:val="24"/>
          <w:u w:val="single"/>
        </w:rPr>
        <w:t>Exhibit A</w:t>
      </w:r>
      <w:r>
        <w:rPr>
          <w:rFonts w:ascii="Times New Roman" w:hAnsi="Times New Roman"/>
          <w:b/>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ACT</w:t>
      </w:r>
      <w:r>
        <w:rPr>
          <w:rFonts w:ascii="Times New Roman" w:hAnsi="Times New Roman"/>
          <w:color w:val="000000"/>
          <w:sz w:val="24"/>
        </w:rPr>
        <w:t xml:space="preserve">” has the meaning set forth in </w:t>
      </w:r>
      <w:r>
        <w:rPr>
          <w:rFonts w:ascii="Times New Roman" w:hAnsi="Times New Roman"/>
          <w:color w:val="000000"/>
          <w:sz w:val="24"/>
          <w:u w:val="single"/>
        </w:rPr>
        <w:t>Section 4.17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Additional Parent Stockholder Matters</w:t>
      </w:r>
      <w:r>
        <w:rPr>
          <w:rFonts w:ascii="Times New Roman" w:hAnsi="Times New Roman"/>
          <w:color w:val="000000"/>
          <w:sz w:val="24"/>
        </w:rPr>
        <w:t xml:space="preserve">” has the meaning set forth in </w:t>
      </w:r>
      <w:r>
        <w:rPr>
          <w:rFonts w:ascii="Times New Roman" w:hAnsi="Times New Roman"/>
          <w:color w:val="000000"/>
          <w:sz w:val="24"/>
          <w:u w:val="single"/>
        </w:rPr>
        <w:t>Section 4.2(a)(v)</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i/>
          <w:color w:val="000000"/>
          <w:sz w:val="24"/>
        </w:rPr>
        <w:t>Affiliate</w:t>
      </w:r>
      <w:r>
        <w:rPr>
          <w:rFonts w:ascii="Times New Roman" w:hAnsi="Times New Roman"/>
          <w:color w:val="000000"/>
          <w:sz w:val="24"/>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240"/>
        <w:jc w:val="both"/>
        <w:rPr/>
      </w:pPr>
      <w:r>
        <w:rPr>
          <w:color w:val="000000"/>
        </w:rPr>
        <w:t>“</w:t>
      </w:r>
      <w:r>
        <w:rPr>
          <w:rFonts w:ascii="Times New Roman" w:hAnsi="Times New Roman"/>
          <w:b/>
          <w:i/>
          <w:color w:val="000000"/>
          <w:sz w:val="24"/>
        </w:rPr>
        <w:t>Agreement</w:t>
      </w:r>
      <w:r>
        <w:rPr>
          <w:rFonts w:ascii="Times New Roman" w:hAnsi="Times New Roman"/>
          <w:color w:val="000000"/>
          <w:sz w:val="24"/>
        </w:rPr>
        <w:t xml:space="preserve">” means the Agreement and Plan of Merger to which this </w:t>
      </w:r>
      <w:r>
        <w:rPr>
          <w:rFonts w:ascii="Times New Roman" w:hAnsi="Times New Roman"/>
          <w:color w:val="000000"/>
          <w:sz w:val="24"/>
          <w:u w:val="single"/>
        </w:rPr>
        <w:t>Exhibit A</w:t>
      </w:r>
      <w:r>
        <w:rPr>
          <w:rFonts w:ascii="Times New Roman" w:hAnsi="Times New Roman"/>
          <w:color w:val="000000"/>
          <w:sz w:val="24"/>
        </w:rPr>
        <w:t xml:space="preserve"> is attached, as it may be amended from time to time.</w:t>
      </w:r>
    </w:p>
    <w:p>
      <w:pPr>
        <w:pStyle w:val="TextBody"/>
        <w:bidi w:val="0"/>
        <w:spacing w:before="0" w:after="240"/>
        <w:jc w:val="both"/>
        <w:rPr/>
      </w:pPr>
      <w:r>
        <w:rPr>
          <w:color w:val="000000"/>
        </w:rPr>
        <w:t>“</w:t>
      </w:r>
      <w:r>
        <w:rPr>
          <w:rFonts w:ascii="Times New Roman" w:hAnsi="Times New Roman"/>
          <w:b/>
          <w:i/>
          <w:color w:val="000000"/>
          <w:sz w:val="24"/>
        </w:rPr>
        <w:t>Allocation Certificate</w:t>
      </w:r>
      <w:r>
        <w:rPr>
          <w:rFonts w:ascii="Times New Roman" w:hAnsi="Times New Roman"/>
          <w:color w:val="000000"/>
          <w:sz w:val="24"/>
        </w:rPr>
        <w:t xml:space="preserve">” has the meaning set forth in </w:t>
      </w:r>
      <w:r>
        <w:rPr>
          <w:rFonts w:ascii="Times New Roman" w:hAnsi="Times New Roman"/>
          <w:color w:val="000000"/>
          <w:sz w:val="24"/>
          <w:u w:val="single"/>
        </w:rPr>
        <w:t>Section 4.13(a)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Anti-Bribery Laws</w:t>
      </w:r>
      <w:r>
        <w:rPr>
          <w:rFonts w:ascii="Times New Roman" w:hAnsi="Times New Roman"/>
          <w:color w:val="000000"/>
          <w:sz w:val="24"/>
        </w:rPr>
        <w:t xml:space="preserve">” has the meaning set forth in </w:t>
      </w:r>
      <w:r>
        <w:rPr>
          <w:rFonts w:ascii="Times New Roman" w:hAnsi="Times New Roman"/>
          <w:color w:val="000000"/>
          <w:sz w:val="24"/>
          <w:u w:val="single"/>
        </w:rPr>
        <w:t>Section 2.22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Book-Entry Shares</w:t>
      </w:r>
      <w:r>
        <w:rPr>
          <w:rFonts w:ascii="Times New Roman" w:hAnsi="Times New Roman"/>
          <w:color w:val="000000"/>
          <w:sz w:val="24"/>
        </w:rPr>
        <w:t xml:space="preserve">” has the meaning set forth in </w:t>
      </w:r>
      <w:r>
        <w:rPr>
          <w:rFonts w:ascii="Times New Roman" w:hAnsi="Times New Roman"/>
          <w:color w:val="000000"/>
          <w:sz w:val="24"/>
          <w:u w:val="single"/>
        </w:rPr>
        <w:t>Section 1.7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Business Day</w:t>
      </w:r>
      <w:r>
        <w:rPr>
          <w:rFonts w:ascii="Times New Roman" w:hAnsi="Times New Roman"/>
          <w:color w:val="000000"/>
          <w:sz w:val="24"/>
        </w:rPr>
        <w:t>” means any day other than a Saturday, Sunday or other day on which banks in New York, New York or San Diego, California are authorized or obligated by Law to be closed.</w:t>
      </w:r>
    </w:p>
    <w:p>
      <w:pPr>
        <w:pStyle w:val="TextBody"/>
        <w:bidi w:val="0"/>
        <w:spacing w:before="0" w:after="240"/>
        <w:jc w:val="both"/>
        <w:rPr/>
      </w:pPr>
      <w:r>
        <w:rPr>
          <w:color w:val="000000"/>
        </w:rPr>
        <w:t>“</w:t>
      </w:r>
      <w:r>
        <w:rPr>
          <w:rFonts w:ascii="Times New Roman" w:hAnsi="Times New Roman"/>
          <w:b/>
          <w:i/>
          <w:color w:val="000000"/>
          <w:sz w:val="24"/>
        </w:rPr>
        <w:t>Cap</w:t>
      </w:r>
      <w:r>
        <w:rPr>
          <w:rFonts w:ascii="Times New Roman" w:hAnsi="Times New Roman"/>
          <w:color w:val="000000"/>
          <w:sz w:val="24"/>
        </w:rPr>
        <w:t xml:space="preserve">” has the meaning set forth in </w:t>
      </w:r>
      <w:r>
        <w:rPr>
          <w:rFonts w:ascii="Times New Roman" w:hAnsi="Times New Roman"/>
          <w:color w:val="000000"/>
          <w:sz w:val="24"/>
          <w:u w:val="single"/>
        </w:rPr>
        <w:t>Section 1.5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Certificates of Merger</w:t>
      </w:r>
      <w:r>
        <w:rPr>
          <w:rFonts w:ascii="Times New Roman" w:hAnsi="Times New Roman"/>
          <w:color w:val="000000"/>
          <w:sz w:val="24"/>
        </w:rPr>
        <w:t xml:space="preserve">” has the meaning set forth in </w:t>
      </w:r>
      <w:r>
        <w:rPr>
          <w:rFonts w:ascii="Times New Roman" w:hAnsi="Times New Roman"/>
          <w:color w:val="000000"/>
          <w:sz w:val="24"/>
          <w:u w:val="single"/>
        </w:rPr>
        <w:t>Section 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Certifications</w:t>
      </w:r>
      <w:r>
        <w:rPr>
          <w:rFonts w:ascii="Times New Roman" w:hAnsi="Times New Roman"/>
          <w:color w:val="000000"/>
          <w:sz w:val="24"/>
        </w:rPr>
        <w:t xml:space="preserve">” has the meaning set forth in </w:t>
      </w:r>
      <w:r>
        <w:rPr>
          <w:rFonts w:ascii="Times New Roman" w:hAnsi="Times New Roman"/>
          <w:color w:val="000000"/>
          <w:sz w:val="24"/>
          <w:u w:val="single"/>
        </w:rPr>
        <w:t>Section 3.7(a)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Charter Amendment</w:t>
      </w:r>
      <w:r>
        <w:rPr>
          <w:rFonts w:ascii="Times New Roman" w:hAnsi="Times New Roman"/>
          <w:color w:val="000000"/>
          <w:sz w:val="24"/>
        </w:rPr>
        <w:t xml:space="preserve">” has the meaning set forth in </w:t>
      </w:r>
      <w:r>
        <w:rPr>
          <w:rFonts w:ascii="Times New Roman" w:hAnsi="Times New Roman"/>
          <w:color w:val="000000"/>
          <w:sz w:val="24"/>
          <w:u w:val="single"/>
        </w:rPr>
        <w:t>Section 4.2(a)(iii)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Closing</w:t>
      </w:r>
      <w:r>
        <w:rPr>
          <w:rFonts w:ascii="Times New Roman" w:hAnsi="Times New Roman"/>
          <w:color w:val="000000"/>
          <w:sz w:val="24"/>
        </w:rPr>
        <w:t xml:space="preserve">” has the meaning set forth in </w:t>
      </w:r>
      <w:r>
        <w:rPr>
          <w:rFonts w:ascii="Times New Roman" w:hAnsi="Times New Roman"/>
          <w:color w:val="000000"/>
          <w:sz w:val="24"/>
          <w:u w:val="single"/>
        </w:rPr>
        <w:t>Section 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Closing Date</w:t>
      </w:r>
      <w:r>
        <w:rPr>
          <w:rFonts w:ascii="Times New Roman" w:hAnsi="Times New Roman"/>
          <w:color w:val="000000"/>
          <w:sz w:val="24"/>
        </w:rPr>
        <w:t xml:space="preserve">” has the meaning set forth in </w:t>
      </w:r>
      <w:r>
        <w:rPr>
          <w:rFonts w:ascii="Times New Roman" w:hAnsi="Times New Roman"/>
          <w:color w:val="000000"/>
          <w:sz w:val="24"/>
          <w:u w:val="single"/>
        </w:rPr>
        <w:t>Section 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Code</w:t>
      </w:r>
      <w:r>
        <w:rPr>
          <w:rFonts w:ascii="Times New Roman" w:hAnsi="Times New Roman"/>
          <w:color w:val="000000"/>
          <w:sz w:val="24"/>
        </w:rPr>
        <w:t>” means the U.S. Internal Revenue Code of 1986, as amended.</w:t>
      </w:r>
    </w:p>
    <w:p>
      <w:pPr>
        <w:pStyle w:val="TextBody"/>
        <w:bidi w:val="0"/>
        <w:spacing w:before="0" w:after="240"/>
        <w:jc w:val="both"/>
        <w:rPr/>
      </w:pPr>
      <w:r>
        <w:rPr>
          <w:color w:val="000000"/>
        </w:rPr>
        <w:t>“</w:t>
      </w:r>
      <w:r>
        <w:rPr>
          <w:rFonts w:ascii="Times New Roman" w:hAnsi="Times New Roman"/>
          <w:b/>
          <w:i/>
          <w:color w:val="000000"/>
          <w:sz w:val="24"/>
        </w:rPr>
        <w:t>Company</w:t>
      </w:r>
      <w:r>
        <w:rPr>
          <w:rFonts w:ascii="Times New Roman" w:hAnsi="Times New Roman"/>
          <w:color w:val="000000"/>
          <w:sz w:val="24"/>
        </w:rPr>
        <w:t>” has the meaning set forth in the Preamble.</w:t>
      </w:r>
    </w:p>
    <w:p>
      <w:pPr>
        <w:pStyle w:val="TextBody"/>
        <w:bidi w:val="0"/>
        <w:spacing w:before="0" w:after="240"/>
        <w:jc w:val="both"/>
        <w:rPr/>
      </w:pPr>
      <w:r>
        <w:rPr>
          <w:color w:val="000000"/>
        </w:rPr>
        <w:t>“</w:t>
      </w:r>
      <w:r>
        <w:rPr>
          <w:rFonts w:ascii="Times New Roman" w:hAnsi="Times New Roman"/>
          <w:b/>
          <w:i/>
          <w:color w:val="000000"/>
          <w:sz w:val="24"/>
        </w:rPr>
        <w:t>Company Associate</w:t>
      </w:r>
      <w:r>
        <w:rPr>
          <w:rFonts w:ascii="Times New Roman" w:hAnsi="Times New Roman"/>
          <w:color w:val="000000"/>
          <w:sz w:val="24"/>
        </w:rPr>
        <w:t xml:space="preserve">” means any current or former employee, individual independent contractor, individual advisor, individual consultant, officer or director of the Company or the Company Subsidiary. </w:t>
      </w:r>
    </w:p>
    <w:p>
      <w:pPr>
        <w:pStyle w:val="TextBody"/>
        <w:bidi w:val="0"/>
        <w:spacing w:before="0" w:after="240"/>
        <w:jc w:val="both"/>
        <w:rPr/>
      </w:pPr>
      <w:r>
        <w:rPr>
          <w:color w:val="000000"/>
        </w:rPr>
        <w:t>“</w:t>
      </w:r>
      <w:r>
        <w:rPr>
          <w:rFonts w:ascii="Times New Roman" w:hAnsi="Times New Roman"/>
          <w:b/>
          <w:i/>
          <w:color w:val="000000"/>
          <w:sz w:val="24"/>
        </w:rPr>
        <w:t>Company Benefit Plan</w:t>
      </w:r>
      <w:r>
        <w:rPr>
          <w:rFonts w:ascii="Times New Roman" w:hAnsi="Times New Roman"/>
          <w:color w:val="000000"/>
          <w:sz w:val="24"/>
        </w:rPr>
        <w:t xml:space="preserve">” has the meaning set forth in </w:t>
      </w:r>
      <w:r>
        <w:rPr>
          <w:rFonts w:ascii="Times New Roman" w:hAnsi="Times New Roman"/>
          <w:color w:val="000000"/>
          <w:sz w:val="24"/>
          <w:u w:val="single"/>
        </w:rPr>
        <w:t>Section 2.17(a)</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Company Board</w:t>
      </w:r>
      <w:r>
        <w:rPr>
          <w:rFonts w:ascii="Times New Roman" w:hAnsi="Times New Roman"/>
          <w:color w:val="000000"/>
          <w:sz w:val="24"/>
        </w:rPr>
        <w:t>” means the board of directors of the Company.</w:t>
      </w:r>
    </w:p>
    <w:p>
      <w:pPr>
        <w:pStyle w:val="TextBody"/>
        <w:bidi w:val="0"/>
        <w:spacing w:before="0" w:after="240"/>
        <w:jc w:val="both"/>
        <w:rPr/>
      </w:pPr>
      <w:r>
        <w:rPr>
          <w:color w:val="000000"/>
        </w:rPr>
        <w:t>“</w:t>
      </w:r>
      <w:r>
        <w:rPr>
          <w:rFonts w:ascii="Times New Roman" w:hAnsi="Times New Roman"/>
          <w:b/>
          <w:i/>
          <w:color w:val="000000"/>
          <w:sz w:val="24"/>
        </w:rPr>
        <w:t>Company Board Approval</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Company Capital Stock</w:t>
      </w:r>
      <w:r>
        <w:rPr>
          <w:rFonts w:ascii="Times New Roman" w:hAnsi="Times New Roman"/>
          <w:color w:val="000000"/>
          <w:sz w:val="24"/>
        </w:rPr>
        <w:t xml:space="preserve">” means the Company Common Stock and the Company Preferred Stock. </w:t>
      </w:r>
    </w:p>
    <w:p>
      <w:pPr>
        <w:pStyle w:val="TextBody"/>
        <w:bidi w:val="0"/>
        <w:spacing w:before="0" w:after="240"/>
        <w:jc w:val="both"/>
        <w:rPr/>
      </w:pPr>
      <w:r>
        <w:rPr>
          <w:color w:val="000000"/>
        </w:rPr>
        <w:t>“</w:t>
      </w:r>
      <w:r>
        <w:rPr>
          <w:rFonts w:ascii="Times New Roman" w:hAnsi="Times New Roman"/>
          <w:b/>
          <w:i/>
          <w:color w:val="000000"/>
          <w:sz w:val="24"/>
        </w:rPr>
        <w:t>Company Common Stock</w:t>
      </w:r>
      <w:r>
        <w:rPr>
          <w:rFonts w:ascii="Times New Roman" w:hAnsi="Times New Roman"/>
          <w:color w:val="000000"/>
          <w:sz w:val="24"/>
        </w:rPr>
        <w:t>” means the common stock, $0.0001 par value per share, of the Company.</w:t>
      </w:r>
    </w:p>
    <w:p>
      <w:pPr>
        <w:pStyle w:val="TextBody"/>
        <w:bidi w:val="0"/>
        <w:spacing w:before="0" w:after="240"/>
        <w:jc w:val="both"/>
        <w:rPr/>
      </w:pPr>
      <w:r>
        <w:rPr>
          <w:color w:val="000000"/>
        </w:rPr>
        <w:t>“</w:t>
      </w:r>
      <w:r>
        <w:rPr>
          <w:rFonts w:ascii="Times New Roman" w:hAnsi="Times New Roman"/>
          <w:b/>
          <w:i/>
          <w:color w:val="000000"/>
          <w:sz w:val="24"/>
        </w:rPr>
        <w:t>Company Contract</w:t>
      </w:r>
      <w:r>
        <w:rPr>
          <w:rFonts w:ascii="Times New Roman" w:hAnsi="Times New Roman"/>
          <w:color w:val="000000"/>
          <w:sz w:val="24"/>
        </w:rPr>
        <w:t>” means any Contract: (a) to which the Company or the Company Subsidiary is a Party or (b) by which the Company or the Company Subsidiary is or may become bound.</w:t>
      </w:r>
    </w:p>
    <w:p>
      <w:pPr>
        <w:pStyle w:val="TextBody"/>
        <w:bidi w:val="0"/>
        <w:spacing w:before="0" w:after="240"/>
        <w:jc w:val="both"/>
        <w:rPr/>
      </w:pPr>
      <w:r>
        <w:rPr>
          <w:color w:val="000000"/>
        </w:rPr>
        <w:t>“</w:t>
      </w:r>
      <w:r>
        <w:rPr>
          <w:rFonts w:ascii="Times New Roman" w:hAnsi="Times New Roman"/>
          <w:b/>
          <w:i/>
          <w:color w:val="000000"/>
          <w:sz w:val="24"/>
        </w:rPr>
        <w:t>Company Data</w:t>
      </w:r>
      <w:r>
        <w:rPr>
          <w:rFonts w:ascii="Times New Roman" w:hAnsi="Times New Roman"/>
          <w:color w:val="000000"/>
          <w:sz w:val="24"/>
        </w:rPr>
        <w:t xml:space="preserve">” means all data and information Processed by or for the Company or the Company Subsidiary. </w:t>
      </w:r>
    </w:p>
    <w:p>
      <w:pPr>
        <w:pStyle w:val="TextBody"/>
        <w:bidi w:val="0"/>
        <w:spacing w:before="0" w:after="240"/>
        <w:jc w:val="both"/>
        <w:rPr/>
      </w:pPr>
      <w:r>
        <w:rPr>
          <w:color w:val="000000"/>
        </w:rPr>
        <w:t>“</w:t>
      </w:r>
      <w:r>
        <w:rPr>
          <w:rFonts w:ascii="Times New Roman" w:hAnsi="Times New Roman"/>
          <w:b/>
          <w:i/>
          <w:color w:val="000000"/>
          <w:sz w:val="24"/>
        </w:rPr>
        <w:t>Company Designee</w:t>
      </w:r>
      <w:r>
        <w:rPr>
          <w:rFonts w:ascii="Times New Roman" w:hAnsi="Times New Roman"/>
          <w:color w:val="000000"/>
          <w:sz w:val="24"/>
        </w:rPr>
        <w:t xml:space="preserve">” has the meaning set forth in </w:t>
      </w:r>
      <w:r>
        <w:rPr>
          <w:rFonts w:ascii="Times New Roman" w:hAnsi="Times New Roman"/>
          <w:color w:val="000000"/>
          <w:sz w:val="24"/>
          <w:u w:val="single"/>
        </w:rPr>
        <w:t>Section 4.10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Disclosure Schedule</w:t>
      </w:r>
      <w:r>
        <w:rPr>
          <w:rFonts w:ascii="Times New Roman" w:hAnsi="Times New Roman"/>
          <w:color w:val="000000"/>
          <w:sz w:val="24"/>
        </w:rPr>
        <w:t xml:space="preserve">” has the meaning set forth in </w:t>
      </w:r>
      <w:r>
        <w:rPr>
          <w:rFonts w:ascii="Times New Roman" w:hAnsi="Times New Roman"/>
          <w:color w:val="000000"/>
          <w:sz w:val="24"/>
          <w:u w:val="single"/>
        </w:rPr>
        <w:t>Section 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ERISA Affiliate</w:t>
      </w:r>
      <w:r>
        <w:rPr>
          <w:rFonts w:ascii="Times New Roman" w:hAnsi="Times New Roman"/>
          <w:color w:val="000000"/>
          <w:sz w:val="24"/>
        </w:rPr>
        <w:t>” means any corporation or trade or business (whether or not incorporated) which is (or at any relevant time was) treated with the Company as a single employer within the meaning of Section 414 of the Code.</w:t>
      </w:r>
    </w:p>
    <w:p>
      <w:pPr>
        <w:pStyle w:val="TextBody"/>
        <w:bidi w:val="0"/>
        <w:spacing w:before="0" w:after="240"/>
        <w:jc w:val="both"/>
        <w:rPr/>
      </w:pPr>
      <w:r>
        <w:rPr>
          <w:color w:val="000000"/>
        </w:rPr>
        <w:t>“</w:t>
      </w:r>
      <w:r>
        <w:rPr>
          <w:rFonts w:ascii="Times New Roman" w:hAnsi="Times New Roman"/>
          <w:b/>
          <w:i/>
          <w:color w:val="000000"/>
          <w:sz w:val="24"/>
        </w:rPr>
        <w:t>Company</w:t>
      </w:r>
      <w:r>
        <w:rPr>
          <w:rFonts w:ascii="Times New Roman" w:hAnsi="Times New Roman"/>
          <w:color w:val="000000"/>
          <w:sz w:val="24"/>
        </w:rPr>
        <w:t xml:space="preserve"> </w:t>
      </w:r>
      <w:r>
        <w:rPr>
          <w:rFonts w:ascii="Times New Roman" w:hAnsi="Times New Roman"/>
          <w:b/>
          <w:i/>
          <w:color w:val="000000"/>
          <w:sz w:val="24"/>
        </w:rPr>
        <w:t>Excepted Contracts</w:t>
      </w:r>
      <w:r>
        <w:rPr>
          <w:rFonts w:ascii="Times New Roman" w:hAnsi="Times New Roman"/>
          <w:color w:val="000000"/>
          <w:sz w:val="24"/>
        </w:rPr>
        <w:t>” shall mean (a) nondisclosure agreements entered into in connection with discussions, negotiations and transactions related to this Agreement or any transactions that were evaluated and/or pursued that do not have any continuing obligations, rights or interests binding on the Company or the Company Subsidiary (other than customary nondisclosure and confidential information nonuse obligations), (b) Company Standard Outbound Contracts and (c) Company Standard Inbound Contracts.</w:t>
      </w:r>
    </w:p>
    <w:p>
      <w:pPr>
        <w:pStyle w:val="TextBody"/>
        <w:bidi w:val="0"/>
        <w:spacing w:before="0" w:after="240"/>
        <w:jc w:val="both"/>
        <w:rPr/>
      </w:pPr>
      <w:r>
        <w:rPr>
          <w:color w:val="000000"/>
        </w:rPr>
        <w:t>“</w:t>
      </w:r>
      <w:r>
        <w:rPr>
          <w:rFonts w:ascii="Times New Roman" w:hAnsi="Times New Roman"/>
          <w:b/>
          <w:i/>
          <w:color w:val="000000"/>
          <w:sz w:val="24"/>
        </w:rPr>
        <w:t>Company Financials</w:t>
      </w:r>
      <w:r>
        <w:rPr>
          <w:rFonts w:ascii="Times New Roman" w:hAnsi="Times New Roman"/>
          <w:color w:val="000000"/>
          <w:sz w:val="24"/>
        </w:rPr>
        <w:t xml:space="preserve">” has the meaning set forth in </w:t>
      </w:r>
      <w:r>
        <w:rPr>
          <w:rFonts w:ascii="Times New Roman" w:hAnsi="Times New Roman"/>
          <w:color w:val="000000"/>
          <w:sz w:val="24"/>
          <w:u w:val="single"/>
        </w:rPr>
        <w:t>Section 2.7(a)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In-bound License</w:t>
      </w:r>
      <w:r>
        <w:rPr>
          <w:rFonts w:ascii="Times New Roman" w:hAnsi="Times New Roman"/>
          <w:color w:val="000000"/>
          <w:sz w:val="24"/>
        </w:rPr>
        <w:t xml:space="preserve">” has the meaning set forth in </w:t>
      </w:r>
      <w:r>
        <w:rPr>
          <w:rFonts w:ascii="Times New Roman" w:hAnsi="Times New Roman"/>
          <w:color w:val="000000"/>
          <w:sz w:val="24"/>
          <w:u w:val="single"/>
        </w:rPr>
        <w:t>Section 2.12(d)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IP</w:t>
      </w:r>
      <w:r>
        <w:rPr>
          <w:rFonts w:ascii="Times New Roman" w:hAnsi="Times New Roman"/>
          <w:color w:val="000000"/>
          <w:sz w:val="24"/>
        </w:rPr>
        <w:t>” means all Intellectual Property Rights that are owned or purported to be owned by, assigned to, or exclusively licensed by, the Company or the Company Subsidiary.</w:t>
      </w:r>
    </w:p>
    <w:p>
      <w:pPr>
        <w:pStyle w:val="TextBody"/>
        <w:bidi w:val="0"/>
        <w:spacing w:before="0" w:after="240"/>
        <w:jc w:val="both"/>
        <w:rPr/>
      </w:pPr>
      <w:r>
        <w:rPr>
          <w:color w:val="000000"/>
        </w:rPr>
        <w:t>“</w:t>
      </w:r>
      <w:r>
        <w:rPr>
          <w:rFonts w:ascii="Times New Roman" w:hAnsi="Times New Roman"/>
          <w:b/>
          <w:i/>
          <w:color w:val="000000"/>
          <w:sz w:val="24"/>
        </w:rPr>
        <w:t>Company Material Adverse Effect</w:t>
      </w:r>
      <w:r>
        <w:rPr>
          <w:rFonts w:ascii="Times New Roman" w:hAnsi="Times New Roman"/>
          <w:color w:val="000000"/>
          <w:sz w:val="24"/>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condition (financial or otherwise), assets, liabilities or results of operations of the Company and the Company Subsidiary, taken as a whole; </w:t>
      </w:r>
      <w:r>
        <w:rPr>
          <w:rFonts w:ascii="Times New Roman" w:hAnsi="Times New Roman"/>
          <w:i/>
          <w:color w:val="000000"/>
          <w:sz w:val="24"/>
        </w:rPr>
        <w:t xml:space="preserve">provided, however, </w:t>
      </w:r>
      <w:r>
        <w:rPr>
          <w:rFonts w:ascii="Times New Roman" w:hAnsi="Times New Roman"/>
          <w:color w:val="000000"/>
          <w:sz w:val="24"/>
        </w:rPr>
        <w:t xml:space="preserve">that Effects arising or resulting from the following shall not be taken into account in determining whether there has been a Company Material Adverse Effect: (a) general business, political or economic conditions affecting the industry in which the Company and its Subsidiaries operate, (b) acts of war, armed hostilities or terrorism, acts of God, natural disaster or comparable events, epidemic, pandemic or disease outbreak or any worsening of the foregoing, or any declaration of martial law, quarantine or similar directive, policy or guidance or Law or other action by any Governmental Body in response thereto, (c) changes in financial,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banking or securities markets, (d) any change in, or any compliance with or action taken for the purpose of complying with, any Law or GAAP (or interpretations of any Law or GAAP), (e) resulting from the announcement of this Agreement or the pendency of the Contemplated Transactions, (f) the taking of any action required to be taken by this Agreement, or (g) resulting from the taking of any action, or the failure to take action, by the Company that is required to be taken or not taken in accordance with this Agreement; except in each case with respect to clauses (a) through (c), to the extent disproportionately affecting the Company and the Company Subsidiary, taken as a whole, relative to other similarly situated companies in the industries in which the Company and the Company Subsidiary operates.</w:t>
      </w:r>
    </w:p>
    <w:p>
      <w:pPr>
        <w:pStyle w:val="TextBody"/>
        <w:bidi w:val="0"/>
        <w:spacing w:before="0" w:after="240"/>
        <w:jc w:val="both"/>
        <w:rPr/>
      </w:pPr>
      <w:r>
        <w:rPr>
          <w:color w:val="000000"/>
        </w:rPr>
        <w:t>“</w:t>
      </w:r>
      <w:r>
        <w:rPr>
          <w:rFonts w:ascii="Times New Roman" w:hAnsi="Times New Roman"/>
          <w:b/>
          <w:i/>
          <w:color w:val="000000"/>
          <w:sz w:val="24"/>
        </w:rPr>
        <w:t>Company Material Contract(s)</w:t>
      </w:r>
      <w:r>
        <w:rPr>
          <w:rFonts w:ascii="Times New Roman" w:hAnsi="Times New Roman"/>
          <w:color w:val="000000"/>
          <w:sz w:val="24"/>
        </w:rPr>
        <w:t xml:space="preserve">” has the meaning set forth in </w:t>
      </w:r>
      <w:r>
        <w:rPr>
          <w:rFonts w:ascii="Times New Roman" w:hAnsi="Times New Roman"/>
          <w:color w:val="000000"/>
          <w:sz w:val="24"/>
          <w:u w:val="single"/>
        </w:rPr>
        <w:t>Section 2.13(a)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Options</w:t>
      </w:r>
      <w:r>
        <w:rPr>
          <w:rFonts w:ascii="Times New Roman" w:hAnsi="Times New Roman"/>
          <w:color w:val="000000"/>
          <w:sz w:val="24"/>
        </w:rPr>
        <w:t>” means options or other rights to purchase shares of Company Common Stock issued by the Company.</w:t>
      </w:r>
    </w:p>
    <w:p>
      <w:pPr>
        <w:pStyle w:val="TextBody"/>
        <w:bidi w:val="0"/>
        <w:spacing w:before="0" w:after="240"/>
        <w:jc w:val="both"/>
        <w:rPr/>
      </w:pPr>
      <w:r>
        <w:rPr>
          <w:color w:val="000000"/>
        </w:rPr>
        <w:t>“</w:t>
      </w:r>
      <w:r>
        <w:rPr>
          <w:rFonts w:ascii="Times New Roman" w:hAnsi="Times New Roman"/>
          <w:b/>
          <w:i/>
          <w:color w:val="000000"/>
          <w:sz w:val="24"/>
        </w:rPr>
        <w:t>Company Out-bound License</w:t>
      </w:r>
      <w:r>
        <w:rPr>
          <w:rFonts w:ascii="Times New Roman" w:hAnsi="Times New Roman"/>
          <w:color w:val="000000"/>
          <w:sz w:val="24"/>
        </w:rPr>
        <w:t xml:space="preserve">” has the meaning set forth in </w:t>
      </w:r>
      <w:r>
        <w:rPr>
          <w:rFonts w:ascii="Times New Roman" w:hAnsi="Times New Roman"/>
          <w:color w:val="000000"/>
          <w:sz w:val="24"/>
          <w:u w:val="single"/>
        </w:rPr>
        <w:t>Section 2.12(d)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Permits</w:t>
      </w:r>
      <w:r>
        <w:rPr>
          <w:rFonts w:ascii="Times New Roman" w:hAnsi="Times New Roman"/>
          <w:color w:val="000000"/>
          <w:sz w:val="24"/>
        </w:rPr>
        <w:t xml:space="preserve">” has the meaning set forth in </w:t>
      </w:r>
      <w:r>
        <w:rPr>
          <w:rFonts w:ascii="Times New Roman" w:hAnsi="Times New Roman"/>
          <w:color w:val="000000"/>
          <w:sz w:val="24"/>
          <w:u w:val="single"/>
        </w:rPr>
        <w:t>Section 2.14(c)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Plan</w:t>
      </w:r>
      <w:r>
        <w:rPr>
          <w:rFonts w:ascii="Times New Roman" w:hAnsi="Times New Roman"/>
          <w:color w:val="000000"/>
          <w:sz w:val="24"/>
        </w:rPr>
        <w:t xml:space="preserve">” has the meaning set forth in </w:t>
      </w:r>
      <w:r>
        <w:rPr>
          <w:rFonts w:ascii="Times New Roman" w:hAnsi="Times New Roman"/>
          <w:color w:val="000000"/>
          <w:sz w:val="24"/>
          <w:u w:val="single"/>
        </w:rPr>
        <w:t>Section 2.6(c)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Preferred Stock</w:t>
      </w:r>
      <w:r>
        <w:rPr>
          <w:rFonts w:ascii="Times New Roman" w:hAnsi="Times New Roman"/>
          <w:color w:val="000000"/>
          <w:sz w:val="24"/>
        </w:rPr>
        <w:t xml:space="preserve">” has the meaning set forth in </w:t>
      </w:r>
      <w:r>
        <w:rPr>
          <w:rFonts w:ascii="Times New Roman" w:hAnsi="Times New Roman"/>
          <w:color w:val="000000"/>
          <w:sz w:val="24"/>
          <w:u w:val="single"/>
        </w:rPr>
        <w:t>Section 2.6(a)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Real Estate Leases</w:t>
      </w:r>
      <w:r>
        <w:rPr>
          <w:rFonts w:ascii="Times New Roman" w:hAnsi="Times New Roman"/>
          <w:color w:val="000000"/>
          <w:sz w:val="24"/>
        </w:rPr>
        <w:t xml:space="preserve">” has the meaning set forth in </w:t>
      </w:r>
      <w:r>
        <w:rPr>
          <w:rFonts w:ascii="Times New Roman" w:hAnsi="Times New Roman"/>
          <w:color w:val="000000"/>
          <w:sz w:val="24"/>
          <w:u w:val="single"/>
        </w:rPr>
        <w:t>Section 2.11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Signatories</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Company Standard Inbound Contracts</w:t>
      </w:r>
      <w:r>
        <w:rPr>
          <w:rFonts w:ascii="Times New Roman" w:hAnsi="Times New Roman"/>
          <w:color w:val="000000"/>
          <w:sz w:val="24"/>
        </w:rPr>
        <w:t xml:space="preserve">” shall mean each of the following Contracts when entered into in the Ordinary Course of Business: materials transfer agreements, services agreements, clinical trial agreements, agreements with Company Associates, non-disclosure agreements, commercially available Software-as-a-Service offerings, off-the-shelf software and any other Contract pursuant to which the Company or the Company Subsidiary obtains research, development, manufacturing or other services from a third party and that contains a non-exclusive license to Intellectual Property Rights that is incidental to such Contract. </w:t>
      </w:r>
    </w:p>
    <w:p>
      <w:pPr>
        <w:pStyle w:val="TextBody"/>
        <w:bidi w:val="0"/>
        <w:spacing w:before="0" w:after="240"/>
        <w:jc w:val="both"/>
        <w:rPr/>
      </w:pPr>
      <w:r>
        <w:rPr>
          <w:color w:val="000000"/>
        </w:rPr>
        <w:t>“</w:t>
      </w:r>
      <w:r>
        <w:rPr>
          <w:rFonts w:ascii="Times New Roman" w:hAnsi="Times New Roman"/>
          <w:b/>
          <w:i/>
          <w:color w:val="000000"/>
          <w:sz w:val="24"/>
        </w:rPr>
        <w:t>Company Standard Outbound Contracts</w:t>
      </w:r>
      <w:r>
        <w:rPr>
          <w:rFonts w:ascii="Times New Roman" w:hAnsi="Times New Roman"/>
          <w:color w:val="000000"/>
          <w:sz w:val="24"/>
        </w:rPr>
        <w:t>” shall mean each of the following Contracts when entered into in the Ordinary Course of Business: materials transfer agreements, clinical trial agreements, services agreements, non-disclosure agreements and any other Contract pursuant to which the Company or the Company Subsidiary grants to a third party Person a non-exclusive license to Intellectual Property Rights solely for such third party Person to provide research, development, manufacturing or other services to the Company or the Company Subsidiary.</w:t>
      </w:r>
    </w:p>
    <w:p>
      <w:pPr>
        <w:pStyle w:val="TextBody"/>
        <w:bidi w:val="0"/>
        <w:spacing w:before="0" w:after="240"/>
        <w:jc w:val="both"/>
        <w:rPr/>
      </w:pPr>
      <w:r>
        <w:rPr>
          <w:color w:val="000000"/>
        </w:rPr>
        <w:t>“</w:t>
      </w:r>
      <w:r>
        <w:rPr>
          <w:rFonts w:ascii="Times New Roman" w:hAnsi="Times New Roman"/>
          <w:b/>
          <w:i/>
          <w:color w:val="000000"/>
          <w:sz w:val="24"/>
        </w:rPr>
        <w:t>Company Stock Certificate</w:t>
      </w:r>
      <w:r>
        <w:rPr>
          <w:rFonts w:ascii="Times New Roman" w:hAnsi="Times New Roman"/>
          <w:color w:val="000000"/>
          <w:sz w:val="24"/>
        </w:rPr>
        <w:t xml:space="preserve">” has the meaning set forth in </w:t>
      </w:r>
      <w:r>
        <w:rPr>
          <w:rFonts w:ascii="Times New Roman" w:hAnsi="Times New Roman"/>
          <w:color w:val="000000"/>
          <w:sz w:val="24"/>
          <w:u w:val="single"/>
        </w:rPr>
        <w:t>Section 1.7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Stockholder Matters</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Company Stockholder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4.1</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Company Subsidiary</w:t>
      </w:r>
      <w:r>
        <w:rPr>
          <w:rFonts w:ascii="Times New Roman" w:hAnsi="Times New Roman"/>
          <w:color w:val="000000"/>
          <w:sz w:val="24"/>
        </w:rPr>
        <w:t xml:space="preserve">” has the meaning set forth in </w:t>
      </w:r>
      <w:r>
        <w:rPr>
          <w:rFonts w:ascii="Times New Roman" w:hAnsi="Times New Roman"/>
          <w:color w:val="000000"/>
          <w:sz w:val="24"/>
          <w:u w:val="single"/>
        </w:rPr>
        <w:t>Section 2.1(c)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Company Subsidiary Unaudited Interim Balance Sheet</w:t>
      </w:r>
      <w:r>
        <w:rPr>
          <w:rFonts w:ascii="Times New Roman" w:hAnsi="Times New Roman"/>
          <w:color w:val="000000"/>
          <w:sz w:val="24"/>
        </w:rPr>
        <w:t>” means the unaudited balance sheet of the Company Subsidiary as of July 31, 2026, provided to Parent prior to the date of this Agreement.</w:t>
      </w:r>
    </w:p>
    <w:p>
      <w:pPr>
        <w:pStyle w:val="TextBody"/>
        <w:bidi w:val="0"/>
        <w:spacing w:before="0" w:after="240"/>
        <w:jc w:val="both"/>
        <w:rPr/>
      </w:pPr>
      <w:r>
        <w:rPr>
          <w:color w:val="000000"/>
        </w:rPr>
        <w:t>“</w:t>
      </w:r>
      <w:r>
        <w:rPr>
          <w:rFonts w:ascii="Times New Roman" w:hAnsi="Times New Roman"/>
          <w:b/>
          <w:i/>
          <w:color w:val="000000"/>
          <w:sz w:val="24"/>
        </w:rPr>
        <w:t>Company Unaudited Interim Balance Sheet</w:t>
      </w:r>
      <w:r>
        <w:rPr>
          <w:rFonts w:ascii="Times New Roman" w:hAnsi="Times New Roman"/>
          <w:color w:val="000000"/>
          <w:sz w:val="24"/>
        </w:rPr>
        <w:t>” means the unaudited balance sheet of the Company as of July 31, 2026, provided to Parent prior to the date of this Agreement.</w:t>
      </w:r>
    </w:p>
    <w:p>
      <w:pPr>
        <w:pStyle w:val="TextBody"/>
        <w:bidi w:val="0"/>
        <w:spacing w:before="0" w:after="240"/>
        <w:jc w:val="both"/>
        <w:rPr/>
      </w:pPr>
      <w:r>
        <w:rPr>
          <w:color w:val="000000"/>
        </w:rPr>
        <w:t>“</w:t>
      </w:r>
      <w:r>
        <w:rPr>
          <w:rFonts w:ascii="Times New Roman" w:hAnsi="Times New Roman"/>
          <w:b/>
          <w:i/>
          <w:color w:val="000000"/>
          <w:sz w:val="24"/>
        </w:rPr>
        <w:t>Concurrent Investment Amount</w:t>
      </w:r>
      <w:r>
        <w:rPr>
          <w:rFonts w:ascii="Times New Roman" w:hAnsi="Times New Roman"/>
          <w:color w:val="000000"/>
          <w:sz w:val="24"/>
        </w:rPr>
        <w:t>” means at least $100,000,000 as contemplated by the Securities Purchase Agreement.</w:t>
      </w:r>
    </w:p>
    <w:p>
      <w:pPr>
        <w:pStyle w:val="TextBody"/>
        <w:bidi w:val="0"/>
        <w:spacing w:before="0" w:after="240"/>
        <w:jc w:val="both"/>
        <w:rPr/>
      </w:pPr>
      <w:r>
        <w:rPr>
          <w:color w:val="000000"/>
        </w:rPr>
        <w:t>“</w:t>
      </w:r>
      <w:r>
        <w:rPr>
          <w:rFonts w:ascii="Times New Roman" w:hAnsi="Times New Roman"/>
          <w:b/>
          <w:i/>
          <w:color w:val="000000"/>
          <w:sz w:val="24"/>
        </w:rPr>
        <w:t>Confidentiality Agreement</w:t>
      </w:r>
      <w:r>
        <w:rPr>
          <w:rFonts w:ascii="Times New Roman" w:hAnsi="Times New Roman"/>
          <w:color w:val="000000"/>
          <w:sz w:val="24"/>
        </w:rPr>
        <w:t>” means that certain Mutual Non-Disclosure Agreement, dated September 2, 2026, between Parent and the Company.</w:t>
      </w:r>
    </w:p>
    <w:p>
      <w:pPr>
        <w:pStyle w:val="TextBody"/>
        <w:bidi w:val="0"/>
        <w:spacing w:before="0" w:after="240"/>
        <w:jc w:val="both"/>
        <w:rPr/>
      </w:pPr>
      <w:r>
        <w:rPr>
          <w:color w:val="000000"/>
        </w:rPr>
        <w:t>“</w:t>
      </w:r>
      <w:r>
        <w:rPr>
          <w:rFonts w:ascii="Times New Roman" w:hAnsi="Times New Roman"/>
          <w:b/>
          <w:i/>
          <w:color w:val="000000"/>
          <w:sz w:val="24"/>
        </w:rPr>
        <w:t>Consent</w:t>
      </w:r>
      <w:r>
        <w:rPr>
          <w:rFonts w:ascii="Times New Roman" w:hAnsi="Times New Roman"/>
          <w:color w:val="000000"/>
          <w:sz w:val="24"/>
        </w:rPr>
        <w:t>” means any approval, consent, ratification, permission, waiver or authorization (including any Governmental Authorization).</w:t>
      </w:r>
    </w:p>
    <w:p>
      <w:pPr>
        <w:pStyle w:val="TextBody"/>
        <w:bidi w:val="0"/>
        <w:spacing w:before="0" w:after="240"/>
        <w:jc w:val="both"/>
        <w:rPr/>
      </w:pPr>
      <w:r>
        <w:rPr>
          <w:color w:val="000000"/>
        </w:rPr>
        <w:t>“</w:t>
      </w:r>
      <w:r>
        <w:rPr>
          <w:rFonts w:ascii="Times New Roman" w:hAnsi="Times New Roman"/>
          <w:b/>
          <w:i/>
          <w:color w:val="000000"/>
          <w:sz w:val="24"/>
        </w:rPr>
        <w:t>Contemplated Transactions</w:t>
      </w:r>
      <w:r>
        <w:rPr>
          <w:rFonts w:ascii="Times New Roman" w:hAnsi="Times New Roman"/>
          <w:color w:val="000000"/>
          <w:sz w:val="24"/>
        </w:rPr>
        <w:t xml:space="preserve">” means the Merger, Parent Stockholder Support Agreements, Lock-Up Agreements and the other transactions and actions contemplated by this Agreement to be consummated at or prior to the Closing (but not, for the avoidance of doubt, the actions proposed to be taken at the Parent Stockholders’ Meetings following the Closing pursuant to </w:t>
      </w:r>
      <w:r>
        <w:rPr>
          <w:rFonts w:ascii="Times New Roman" w:hAnsi="Times New Roman"/>
          <w:color w:val="000000"/>
          <w:sz w:val="24"/>
          <w:u w:val="single"/>
        </w:rPr>
        <w:t>Section 4.2)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Contract</w:t>
      </w:r>
      <w:r>
        <w:rPr>
          <w:rFonts w:ascii="Times New Roman" w:hAnsi="Times New Roman"/>
          <w:color w:val="000000"/>
          <w:sz w:val="24"/>
        </w:rPr>
        <w:t>” means, with respect to any Person, any written or oral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pStyle w:val="TextBody"/>
        <w:bidi w:val="0"/>
        <w:spacing w:before="0" w:after="240"/>
        <w:jc w:val="both"/>
        <w:rPr/>
      </w:pPr>
      <w:r>
        <w:rPr>
          <w:color w:val="000000"/>
        </w:rPr>
        <w:t>“</w:t>
      </w:r>
      <w:r>
        <w:rPr>
          <w:rFonts w:ascii="Times New Roman" w:hAnsi="Times New Roman"/>
          <w:b/>
          <w:i/>
          <w:color w:val="000000"/>
          <w:sz w:val="24"/>
        </w:rPr>
        <w:t>D&amp;O Indemnified Parties</w:t>
      </w:r>
      <w:r>
        <w:rPr>
          <w:rFonts w:ascii="Times New Roman" w:hAnsi="Times New Roman"/>
          <w:color w:val="000000"/>
          <w:sz w:val="24"/>
        </w:rPr>
        <w:t xml:space="preserve">” has the meaning set forth in </w:t>
      </w:r>
      <w:r>
        <w:rPr>
          <w:rFonts w:ascii="Times New Roman" w:hAnsi="Times New Roman"/>
          <w:color w:val="000000"/>
          <w:sz w:val="24"/>
          <w:u w:val="single"/>
        </w:rPr>
        <w:t>Section 4.5(a)</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i/>
          <w:color w:val="000000"/>
          <w:sz w:val="24"/>
        </w:rPr>
        <w:t>D&amp;O Tail Policy</w:t>
      </w:r>
      <w:r>
        <w:rPr>
          <w:rFonts w:ascii="Times New Roman" w:hAnsi="Times New Roman"/>
          <w:color w:val="000000"/>
          <w:sz w:val="24"/>
        </w:rPr>
        <w:t xml:space="preserve">” has the meaning set forth in </w:t>
      </w:r>
      <w:r>
        <w:rPr>
          <w:rFonts w:ascii="Times New Roman" w:hAnsi="Times New Roman"/>
          <w:color w:val="000000"/>
          <w:sz w:val="24"/>
          <w:u w:val="single"/>
        </w:rPr>
        <w:t>Section 4.5(d)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Data Processing Policy</w:t>
      </w:r>
      <w:r>
        <w:rPr>
          <w:rFonts w:ascii="Times New Roman" w:hAnsi="Times New Roman"/>
          <w:color w:val="000000"/>
          <w:sz w:val="24"/>
        </w:rPr>
        <w:t>” means each applicable written policy, statement, representation, or notice of the Company, Parent or their respective Subsidiaries relating to the Processing of Company Data or Parent Data (as applicable), privacy, data protection, or security.</w:t>
      </w:r>
    </w:p>
    <w:p>
      <w:pPr>
        <w:pStyle w:val="TextBody"/>
        <w:bidi w:val="0"/>
        <w:spacing w:before="0" w:after="240"/>
        <w:jc w:val="both"/>
        <w:rPr/>
      </w:pPr>
      <w:r>
        <w:rPr>
          <w:color w:val="000000"/>
        </w:rPr>
        <w:t>“</w:t>
      </w:r>
      <w:r>
        <w:rPr>
          <w:rFonts w:ascii="Times New Roman" w:hAnsi="Times New Roman"/>
          <w:b/>
          <w:i/>
          <w:color w:val="000000"/>
          <w:sz w:val="24"/>
        </w:rPr>
        <w:t>DGCL</w:t>
      </w:r>
      <w:r>
        <w:rPr>
          <w:rFonts w:ascii="Times New Roman" w:hAnsi="Times New Roman"/>
          <w:color w:val="000000"/>
          <w:sz w:val="24"/>
        </w:rPr>
        <w:t xml:space="preserve">” means the General Corporation Law of the State of Delaware. </w:t>
      </w:r>
    </w:p>
    <w:p>
      <w:pPr>
        <w:pStyle w:val="TextBody"/>
        <w:bidi w:val="0"/>
        <w:spacing w:before="0" w:after="240"/>
        <w:jc w:val="both"/>
        <w:rPr/>
      </w:pPr>
      <w:r>
        <w:rPr>
          <w:color w:val="000000"/>
        </w:rPr>
        <w:t>“</w:t>
      </w:r>
      <w:r>
        <w:rPr>
          <w:rFonts w:ascii="Times New Roman" w:hAnsi="Times New Roman"/>
          <w:b/>
          <w:i/>
          <w:color w:val="000000"/>
          <w:sz w:val="24"/>
        </w:rPr>
        <w:t>Disqualifying Event</w:t>
      </w:r>
      <w:r>
        <w:rPr>
          <w:rFonts w:ascii="Times New Roman" w:hAnsi="Times New Roman"/>
          <w:color w:val="000000"/>
          <w:sz w:val="24"/>
        </w:rPr>
        <w:t xml:space="preserve">” has the meaning set forth in </w:t>
      </w:r>
      <w:r>
        <w:rPr>
          <w:rFonts w:ascii="Times New Roman" w:hAnsi="Times New Roman"/>
          <w:color w:val="000000"/>
          <w:sz w:val="24"/>
          <w:u w:val="single"/>
        </w:rPr>
        <w:t>Section 3.24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Dissenting Shares</w:t>
      </w:r>
      <w:r>
        <w:rPr>
          <w:rFonts w:ascii="Times New Roman" w:hAnsi="Times New Roman"/>
          <w:color w:val="000000"/>
          <w:sz w:val="24"/>
        </w:rPr>
        <w:t xml:space="preserve">” has the meaning set forth in </w:t>
      </w:r>
      <w:r>
        <w:rPr>
          <w:rFonts w:ascii="Times New Roman" w:hAnsi="Times New Roman"/>
          <w:color w:val="000000"/>
          <w:sz w:val="24"/>
          <w:u w:val="single"/>
        </w:rPr>
        <w:t>Section 1.10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DLLCA</w:t>
      </w:r>
      <w:r>
        <w:rPr>
          <w:rFonts w:ascii="Times New Roman" w:hAnsi="Times New Roman"/>
          <w:color w:val="000000"/>
          <w:sz w:val="24"/>
        </w:rPr>
        <w:t>” means the Delaware Limited Liability Company Act.</w:t>
      </w:r>
    </w:p>
    <w:p>
      <w:pPr>
        <w:pStyle w:val="TextBody"/>
        <w:bidi w:val="0"/>
        <w:spacing w:before="0" w:after="240"/>
        <w:jc w:val="both"/>
        <w:rPr/>
      </w:pPr>
      <w:r>
        <w:rPr>
          <w:color w:val="000000"/>
        </w:rPr>
        <w:t>“</w:t>
      </w:r>
      <w:r>
        <w:rPr>
          <w:rFonts w:ascii="Times New Roman" w:hAnsi="Times New Roman"/>
          <w:b/>
          <w:i/>
          <w:color w:val="000000"/>
          <w:sz w:val="24"/>
        </w:rPr>
        <w:t>DPA</w:t>
      </w:r>
      <w:r>
        <w:rPr>
          <w:rFonts w:ascii="Times New Roman" w:hAnsi="Times New Roman"/>
          <w:color w:val="000000"/>
          <w:sz w:val="24"/>
        </w:rPr>
        <w:t xml:space="preserve">” has the meaning set forth in </w:t>
      </w:r>
      <w:r>
        <w:rPr>
          <w:rFonts w:ascii="Times New Roman" w:hAnsi="Times New Roman"/>
          <w:color w:val="000000"/>
          <w:sz w:val="24"/>
          <w:u w:val="single"/>
        </w:rPr>
        <w:t>Section 2.26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Drug Regulatory Agency</w:t>
      </w:r>
      <w:r>
        <w:rPr>
          <w:rFonts w:ascii="Times New Roman" w:hAnsi="Times New Roman"/>
          <w:color w:val="000000"/>
          <w:sz w:val="24"/>
        </w:rPr>
        <w:t xml:space="preserve">” has the meaning set forth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Effect</w:t>
      </w:r>
      <w:r>
        <w:rPr>
          <w:rFonts w:ascii="Times New Roman" w:hAnsi="Times New Roman"/>
          <w:color w:val="000000"/>
          <w:sz w:val="24"/>
        </w:rPr>
        <w:t>” means any effect, change, event, circumstance, or development.</w:t>
      </w:r>
    </w:p>
    <w:p>
      <w:pPr>
        <w:pStyle w:val="TextBody"/>
        <w:bidi w:val="0"/>
        <w:spacing w:before="0" w:after="240"/>
        <w:jc w:val="both"/>
        <w:rPr/>
      </w:pPr>
      <w:r>
        <w:rPr>
          <w:color w:val="000000"/>
        </w:rPr>
        <w:t>“</w:t>
      </w:r>
      <w:r>
        <w:rPr>
          <w:rFonts w:ascii="Times New Roman" w:hAnsi="Times New Roman"/>
          <w:b/>
          <w:i/>
          <w:color w:val="000000"/>
          <w:sz w:val="24"/>
        </w:rPr>
        <w:t>Embargoed Countries</w:t>
      </w:r>
      <w:r>
        <w:rPr>
          <w:rFonts w:ascii="Times New Roman" w:hAnsi="Times New Roman"/>
          <w:color w:val="000000"/>
          <w:sz w:val="24"/>
        </w:rPr>
        <w:t xml:space="preserve">” has the meaning set forth in </w:t>
      </w:r>
      <w:r>
        <w:rPr>
          <w:rFonts w:ascii="Times New Roman" w:hAnsi="Times New Roman"/>
          <w:color w:val="000000"/>
          <w:sz w:val="24"/>
          <w:u w:val="single"/>
        </w:rPr>
        <w:t>Section 2.24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Encumbrance</w:t>
      </w:r>
      <w:r>
        <w:rPr>
          <w:rFonts w:ascii="Times New Roman" w:hAnsi="Times New Roman"/>
          <w:color w:val="000000"/>
          <w:sz w:val="24"/>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240"/>
        <w:jc w:val="both"/>
        <w:rPr/>
      </w:pPr>
      <w:r>
        <w:rPr>
          <w:color w:val="000000"/>
        </w:rPr>
        <w:t>“</w:t>
      </w:r>
      <w:r>
        <w:rPr>
          <w:rFonts w:ascii="Times New Roman" w:hAnsi="Times New Roman"/>
          <w:b/>
          <w:i/>
          <w:color w:val="000000"/>
          <w:sz w:val="24"/>
        </w:rPr>
        <w:t>Enforceability Exceptions</w:t>
      </w:r>
      <w:r>
        <w:rPr>
          <w:rFonts w:ascii="Times New Roman" w:hAnsi="Times New Roman"/>
          <w:color w:val="000000"/>
          <w:sz w:val="24"/>
        </w:rPr>
        <w:t>” means the (a) Laws of general application relating to bankruptcy, insolvency and the relief of debtors; and (b) rules of law governing specific performance, injunctive relief and other equitable remedies.</w:t>
      </w:r>
    </w:p>
    <w:p>
      <w:pPr>
        <w:pStyle w:val="TextBody"/>
        <w:bidi w:val="0"/>
        <w:spacing w:before="0" w:after="240"/>
        <w:jc w:val="both"/>
        <w:rPr/>
      </w:pPr>
      <w:r>
        <w:rPr>
          <w:color w:val="000000"/>
        </w:rPr>
        <w:t>“</w:t>
      </w:r>
      <w:r>
        <w:rPr>
          <w:rFonts w:ascii="Times New Roman" w:hAnsi="Times New Roman"/>
          <w:b/>
          <w:i/>
          <w:color w:val="000000"/>
          <w:sz w:val="24"/>
        </w:rPr>
        <w:t>Entity</w:t>
      </w:r>
      <w:r>
        <w:rPr>
          <w:rFonts w:ascii="Times New Roman" w:hAnsi="Times New Roman"/>
          <w:color w:val="000000"/>
          <w:sz w:val="24"/>
        </w:rPr>
        <w:t xml:space="preserve">” </w:t>
      </w:r>
      <w:r>
        <w:rPr>
          <w:rFonts w:ascii="Times New Roman" w:hAnsi="Times New Roman"/>
          <w:b/>
          <w:i/>
          <w:color w:val="000000"/>
          <w:sz w:val="24"/>
        </w:rPr>
        <w:t xml:space="preserve">means </w:t>
      </w:r>
      <w:r>
        <w:rPr>
          <w:rFonts w:ascii="Times New Roman" w:hAnsi="Times New Roman"/>
          <w:color w:val="000000"/>
          <w:sz w:val="24"/>
        </w:rPr>
        <w:t>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before="0" w:after="240"/>
        <w:jc w:val="both"/>
        <w:rPr/>
      </w:pPr>
      <w:r>
        <w:rPr>
          <w:color w:val="000000"/>
        </w:rPr>
        <w:t>“</w:t>
      </w:r>
      <w:r>
        <w:rPr>
          <w:rFonts w:ascii="Times New Roman" w:hAnsi="Times New Roman"/>
          <w:b/>
          <w:i/>
          <w:color w:val="000000"/>
          <w:sz w:val="24"/>
        </w:rPr>
        <w:t>Environmental Law</w:t>
      </w:r>
      <w:r>
        <w:rPr>
          <w:rFonts w:ascii="Times New Roman" w:hAnsi="Times New Roman"/>
          <w:color w:val="000000"/>
          <w:sz w:val="24"/>
        </w:rPr>
        <w:t>” means any federal, state, local or foreign Law relating to pollution or protection of human health (as it relates to exposure to Hazardous Materials)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before="0" w:after="240"/>
        <w:jc w:val="both"/>
        <w:rPr/>
      </w:pPr>
      <w:r>
        <w:rPr>
          <w:color w:val="000000"/>
        </w:rPr>
        <w:t>“</w:t>
      </w:r>
      <w:r>
        <w:rPr>
          <w:rFonts w:ascii="Times New Roman" w:hAnsi="Times New Roman"/>
          <w:b/>
          <w:i/>
          <w:color w:val="000000"/>
          <w:sz w:val="24"/>
        </w:rPr>
        <w:t>ERISA</w:t>
      </w:r>
      <w:r>
        <w:rPr>
          <w:rFonts w:ascii="Times New Roman" w:hAnsi="Times New Roman"/>
          <w:color w:val="000000"/>
          <w:sz w:val="24"/>
        </w:rPr>
        <w:t>” means the Employee Retirement Income Security Act of 1974, as amended.</w:t>
      </w:r>
    </w:p>
    <w:p>
      <w:pPr>
        <w:pStyle w:val="TextBody"/>
        <w:bidi w:val="0"/>
        <w:spacing w:before="0" w:after="240"/>
        <w:jc w:val="both"/>
        <w:rPr/>
      </w:pPr>
      <w:r>
        <w:rPr>
          <w:color w:val="000000"/>
        </w:rPr>
        <w:t>“</w:t>
      </w:r>
      <w:r>
        <w:rPr>
          <w:rFonts w:ascii="Times New Roman" w:hAnsi="Times New Roman"/>
          <w:b/>
          <w:i/>
          <w:color w:val="000000"/>
          <w:sz w:val="24"/>
        </w:rPr>
        <w:t>Exchange Act</w:t>
      </w:r>
      <w:r>
        <w:rPr>
          <w:rFonts w:ascii="Times New Roman" w:hAnsi="Times New Roman"/>
          <w:color w:val="000000"/>
          <w:sz w:val="24"/>
        </w:rPr>
        <w:t>” means the Securities Exchange Act of 1934, as amended.</w:t>
      </w:r>
    </w:p>
    <w:p>
      <w:pPr>
        <w:pStyle w:val="TextBody"/>
        <w:bidi w:val="0"/>
        <w:spacing w:before="0" w:after="240"/>
        <w:jc w:val="both"/>
        <w:rPr/>
      </w:pPr>
      <w:r>
        <w:rPr>
          <w:color w:val="000000"/>
        </w:rPr>
        <w:t>“</w:t>
      </w:r>
      <w:r>
        <w:rPr>
          <w:rFonts w:ascii="Times New Roman" w:hAnsi="Times New Roman"/>
          <w:b/>
          <w:i/>
          <w:color w:val="000000"/>
          <w:sz w:val="24"/>
        </w:rPr>
        <w:t>Exchange Agent</w:t>
      </w:r>
      <w:r>
        <w:rPr>
          <w:rFonts w:ascii="Times New Roman" w:hAnsi="Times New Roman"/>
          <w:color w:val="000000"/>
          <w:sz w:val="24"/>
        </w:rPr>
        <w:t xml:space="preserve">” has the meaning set forth in </w:t>
      </w:r>
      <w:r>
        <w:rPr>
          <w:rFonts w:ascii="Times New Roman" w:hAnsi="Times New Roman"/>
          <w:color w:val="000000"/>
          <w:sz w:val="24"/>
          <w:u w:val="single"/>
        </w:rPr>
        <w:t>Section 1.8(a)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Exchange Fund</w:t>
      </w:r>
      <w:r>
        <w:rPr>
          <w:rFonts w:ascii="Times New Roman" w:hAnsi="Times New Roman"/>
          <w:color w:val="000000"/>
          <w:sz w:val="24"/>
        </w:rPr>
        <w:t xml:space="preserve">” has the meaning set forth in </w:t>
      </w:r>
      <w:r>
        <w:rPr>
          <w:rFonts w:ascii="Times New Roman" w:hAnsi="Times New Roman"/>
          <w:color w:val="000000"/>
          <w:sz w:val="24"/>
          <w:u w:val="single"/>
        </w:rPr>
        <w:t>Section 1.8(a)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Exchange Ratio</w:t>
      </w:r>
      <w:r>
        <w:rPr>
          <w:rFonts w:ascii="Times New Roman" w:hAnsi="Times New Roman"/>
          <w:color w:val="000000"/>
          <w:sz w:val="24"/>
        </w:rPr>
        <w:t>” means 1.6413.</w:t>
      </w:r>
    </w:p>
    <w:p>
      <w:pPr>
        <w:pStyle w:val="TextBody"/>
        <w:bidi w:val="0"/>
        <w:spacing w:before="0" w:after="240"/>
        <w:jc w:val="both"/>
        <w:rPr/>
      </w:pPr>
      <w:r>
        <w:rPr>
          <w:color w:val="000000"/>
        </w:rPr>
        <w:t>“</w:t>
      </w:r>
      <w:r>
        <w:rPr>
          <w:rFonts w:ascii="Times New Roman" w:hAnsi="Times New Roman"/>
          <w:b/>
          <w:i/>
          <w:color w:val="000000"/>
          <w:sz w:val="24"/>
        </w:rPr>
        <w:t>FDA</w:t>
      </w:r>
      <w:r>
        <w:rPr>
          <w:rFonts w:ascii="Times New Roman" w:hAnsi="Times New Roman"/>
          <w:color w:val="000000"/>
          <w:sz w:val="24"/>
        </w:rPr>
        <w:t xml:space="preserve">” has the meaning set forth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FDCA</w:t>
      </w:r>
      <w:r>
        <w:rPr>
          <w:rFonts w:ascii="Times New Roman" w:hAnsi="Times New Roman"/>
          <w:color w:val="000000"/>
          <w:sz w:val="24"/>
        </w:rPr>
        <w:t xml:space="preserve">” has the meaning set forth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First Certificate of Merger</w:t>
      </w:r>
      <w:r>
        <w:rPr>
          <w:rFonts w:ascii="Times New Roman" w:hAnsi="Times New Roman"/>
          <w:color w:val="000000"/>
          <w:sz w:val="24"/>
        </w:rPr>
        <w:t xml:space="preserve">” has the meaning set forth in </w:t>
      </w:r>
      <w:r>
        <w:rPr>
          <w:rFonts w:ascii="Times New Roman" w:hAnsi="Times New Roman"/>
          <w:color w:val="000000"/>
          <w:sz w:val="24"/>
          <w:u w:val="single"/>
        </w:rPr>
        <w:t>Section 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First Effective Time</w:t>
      </w:r>
      <w:r>
        <w:rPr>
          <w:rFonts w:ascii="Times New Roman" w:hAnsi="Times New Roman"/>
          <w:color w:val="000000"/>
          <w:sz w:val="24"/>
        </w:rPr>
        <w:t xml:space="preserve">” has the meaning set forth in </w:t>
      </w:r>
      <w:r>
        <w:rPr>
          <w:rFonts w:ascii="Times New Roman" w:hAnsi="Times New Roman"/>
          <w:color w:val="000000"/>
          <w:sz w:val="24"/>
          <w:u w:val="single"/>
        </w:rPr>
        <w:t>Section 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First Merger</w:t>
      </w:r>
      <w:r>
        <w:rPr>
          <w:rFonts w:ascii="Times New Roman" w:hAnsi="Times New Roman"/>
          <w:color w:val="000000"/>
          <w:sz w:val="24"/>
        </w:rPr>
        <w:t>” has the meaning set forth in the Recitals.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First Merger Sub</w:t>
      </w:r>
      <w:r>
        <w:rPr>
          <w:rFonts w:ascii="Times New Roman" w:hAnsi="Times New Roman"/>
          <w:color w:val="000000"/>
          <w:sz w:val="24"/>
        </w:rPr>
        <w:t>” has the meaning set forth in the Preamble.</w:t>
      </w:r>
    </w:p>
    <w:p>
      <w:pPr>
        <w:pStyle w:val="TextBody"/>
        <w:bidi w:val="0"/>
        <w:spacing w:before="0" w:after="240"/>
        <w:jc w:val="both"/>
        <w:rPr/>
      </w:pPr>
      <w:r>
        <w:rPr>
          <w:color w:val="000000"/>
        </w:rPr>
        <w:t>“</w:t>
      </w:r>
      <w:r>
        <w:rPr>
          <w:rFonts w:ascii="Times New Roman" w:hAnsi="Times New Roman"/>
          <w:b/>
          <w:i/>
          <w:color w:val="000000"/>
          <w:sz w:val="24"/>
        </w:rPr>
        <w:t>First Merger Sub Board</w:t>
      </w:r>
      <w:r>
        <w:rPr>
          <w:rFonts w:ascii="Times New Roman" w:hAnsi="Times New Roman"/>
          <w:color w:val="000000"/>
          <w:sz w:val="24"/>
        </w:rPr>
        <w:t>” means the board of directors of First Merger Sub.</w:t>
      </w:r>
    </w:p>
    <w:p>
      <w:pPr>
        <w:pStyle w:val="TextBody"/>
        <w:bidi w:val="0"/>
        <w:spacing w:before="0" w:after="240"/>
        <w:jc w:val="both"/>
        <w:rPr/>
      </w:pPr>
      <w:r>
        <w:rPr>
          <w:color w:val="000000"/>
        </w:rPr>
        <w:t>“</w:t>
      </w:r>
      <w:r>
        <w:rPr>
          <w:rFonts w:ascii="Times New Roman" w:hAnsi="Times New Roman"/>
          <w:b/>
          <w:i/>
          <w:color w:val="000000"/>
          <w:sz w:val="24"/>
        </w:rPr>
        <w:t>First Parent Stockholders’ Meeting</w:t>
      </w:r>
      <w:r>
        <w:rPr>
          <w:rFonts w:ascii="Times New Roman" w:hAnsi="Times New Roman"/>
          <w:color w:val="000000"/>
          <w:sz w:val="24"/>
        </w:rPr>
        <w:t xml:space="preserve">” has the meaning set forth in </w:t>
      </w:r>
      <w:r>
        <w:rPr>
          <w:rFonts w:ascii="Times New Roman" w:hAnsi="Times New Roman"/>
          <w:color w:val="000000"/>
          <w:sz w:val="24"/>
          <w:u w:val="single"/>
        </w:rPr>
        <w:t>Section 4.2(a)(v)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First Required Parent Stockholder Vote</w:t>
      </w:r>
      <w:r>
        <w:rPr>
          <w:rFonts w:ascii="Times New Roman" w:hAnsi="Times New Roman"/>
          <w:color w:val="000000"/>
          <w:sz w:val="24"/>
        </w:rPr>
        <w:t xml:space="preserve">” has the meaning set forth in </w:t>
      </w:r>
      <w:r>
        <w:rPr>
          <w:rFonts w:ascii="Times New Roman" w:hAnsi="Times New Roman"/>
          <w:color w:val="000000"/>
          <w:sz w:val="24"/>
          <w:u w:val="single"/>
        </w:rPr>
        <w:t>Section 3.4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First Step Surviving Corporation</w:t>
      </w:r>
      <w:r>
        <w:rPr>
          <w:rFonts w:ascii="Times New Roman" w:hAnsi="Times New Roman"/>
          <w:color w:val="000000"/>
          <w:sz w:val="24"/>
        </w:rPr>
        <w:t xml:space="preserve">” has the meaning set forth in </w:t>
      </w:r>
      <w:r>
        <w:rPr>
          <w:rFonts w:ascii="Times New Roman" w:hAnsi="Times New Roman"/>
          <w:color w:val="000000"/>
          <w:sz w:val="24"/>
          <w:u w:val="single"/>
        </w:rPr>
        <w:t>Section 1.1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GAAP</w:t>
      </w:r>
      <w:r>
        <w:rPr>
          <w:rFonts w:ascii="Times New Roman" w:hAnsi="Times New Roman"/>
          <w:color w:val="000000"/>
          <w:sz w:val="24"/>
        </w:rPr>
        <w:t>” means generally accepted accounting principles and practices in effect from time to time within the United States applied consistently throughout the period involved.</w:t>
      </w:r>
    </w:p>
    <w:p>
      <w:pPr>
        <w:pStyle w:val="TextBody"/>
        <w:bidi w:val="0"/>
        <w:spacing w:before="0" w:after="240"/>
        <w:jc w:val="both"/>
        <w:rPr/>
      </w:pPr>
      <w:r>
        <w:rPr>
          <w:color w:val="000000"/>
        </w:rPr>
        <w:t>“</w:t>
      </w:r>
      <w:r>
        <w:rPr>
          <w:rFonts w:ascii="Times New Roman" w:hAnsi="Times New Roman"/>
          <w:b/>
          <w:i/>
          <w:color w:val="000000"/>
          <w:sz w:val="24"/>
        </w:rPr>
        <w:t>GCP</w:t>
      </w:r>
      <w:r>
        <w:rPr>
          <w:rFonts w:ascii="Times New Roman" w:hAnsi="Times New Roman"/>
          <w:color w:val="000000"/>
          <w:sz w:val="24"/>
        </w:rPr>
        <w:t xml:space="preserve">” has the meaning set forth in </w:t>
      </w:r>
      <w:r>
        <w:rPr>
          <w:rFonts w:ascii="Times New Roman" w:hAnsi="Times New Roman"/>
          <w:color w:val="000000"/>
          <w:sz w:val="24"/>
          <w:u w:val="single"/>
        </w:rPr>
        <w:t>Section 2.14(f)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GLP</w:t>
      </w:r>
      <w:r>
        <w:rPr>
          <w:rFonts w:ascii="Times New Roman" w:hAnsi="Times New Roman"/>
          <w:color w:val="000000"/>
          <w:sz w:val="24"/>
        </w:rPr>
        <w:t xml:space="preserve">” has the meaning set forth in </w:t>
      </w:r>
      <w:r>
        <w:rPr>
          <w:rFonts w:ascii="Times New Roman" w:hAnsi="Times New Roman"/>
          <w:color w:val="000000"/>
          <w:sz w:val="24"/>
          <w:u w:val="single"/>
        </w:rPr>
        <w:t>Section 2.14(f)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Governmental Authorization</w:t>
      </w:r>
      <w:r>
        <w:rPr>
          <w:rFonts w:ascii="Times New Roman" w:hAnsi="Times New Roman"/>
          <w:color w:val="000000"/>
          <w:sz w:val="24"/>
        </w:rPr>
        <w:t>” means any: (a) permit, license, certificate, franchise, permission, variance, exception, approval, exemption, order, clearance, registration, listing, qualification or authorization issued, granted, given or otherwise made available by or under the authority of any Governmental Body or pursuant to any Law; or (b) right under any Contract with any Governmental Body.</w:t>
      </w:r>
    </w:p>
    <w:p>
      <w:pPr>
        <w:pStyle w:val="TextBody"/>
        <w:bidi w:val="0"/>
        <w:spacing w:before="0" w:after="240"/>
        <w:jc w:val="both"/>
        <w:rPr/>
      </w:pPr>
      <w:r>
        <w:rPr>
          <w:color w:val="000000"/>
        </w:rPr>
        <w:t>“</w:t>
      </w:r>
      <w:r>
        <w:rPr>
          <w:rFonts w:ascii="Times New Roman" w:hAnsi="Times New Roman"/>
          <w:b/>
          <w:i/>
          <w:color w:val="000000"/>
          <w:sz w:val="24"/>
        </w:rPr>
        <w:t>Governmental Body</w:t>
      </w:r>
      <w:r>
        <w:rPr>
          <w:rFonts w:ascii="Times New Roman" w:hAnsi="Times New Roman"/>
          <w:color w:val="000000"/>
          <w:sz w:val="24"/>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240"/>
        <w:jc w:val="both"/>
        <w:rPr/>
      </w:pPr>
      <w:r>
        <w:rPr>
          <w:color w:val="000000"/>
        </w:rPr>
        <w:t>“</w:t>
      </w:r>
      <w:r>
        <w:rPr>
          <w:rFonts w:ascii="Times New Roman" w:hAnsi="Times New Roman"/>
          <w:b/>
          <w:i/>
          <w:color w:val="000000"/>
          <w:sz w:val="24"/>
        </w:rPr>
        <w:t>Hazardous Materials</w:t>
      </w:r>
      <w:r>
        <w:rPr>
          <w:rFonts w:ascii="Times New Roman" w:hAnsi="Times New Roman"/>
          <w:color w:val="000000"/>
          <w:sz w:val="24"/>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pStyle w:val="TextBody"/>
        <w:bidi w:val="0"/>
        <w:spacing w:before="0" w:after="240"/>
        <w:jc w:val="both"/>
        <w:rPr/>
      </w:pPr>
      <w:r>
        <w:rPr>
          <w:color w:val="000000"/>
        </w:rPr>
        <w:t>“</w:t>
      </w:r>
      <w:r>
        <w:rPr>
          <w:rFonts w:ascii="Times New Roman" w:hAnsi="Times New Roman"/>
          <w:b/>
          <w:i/>
          <w:color w:val="000000"/>
          <w:sz w:val="24"/>
        </w:rPr>
        <w:t>HIPAA</w:t>
      </w:r>
      <w:r>
        <w:rPr>
          <w:rFonts w:ascii="Times New Roman" w:hAnsi="Times New Roman"/>
          <w:color w:val="000000"/>
          <w:sz w:val="24"/>
        </w:rPr>
        <w:t xml:space="preserve">” has the meaning set forth in </w:t>
      </w:r>
      <w:r>
        <w:rPr>
          <w:rFonts w:ascii="Times New Roman" w:hAnsi="Times New Roman"/>
          <w:color w:val="000000"/>
          <w:sz w:val="24"/>
          <w:u w:val="single"/>
        </w:rPr>
        <w:t>Section 2.14(j)</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Initial Parent Stockholder Matters</w:t>
      </w:r>
      <w:r>
        <w:rPr>
          <w:rFonts w:ascii="Times New Roman" w:hAnsi="Times New Roman"/>
          <w:color w:val="000000"/>
          <w:sz w:val="24"/>
        </w:rPr>
        <w:t xml:space="preserve">” has the meaning set forth in </w:t>
      </w:r>
      <w:r>
        <w:rPr>
          <w:rFonts w:ascii="Times New Roman" w:hAnsi="Times New Roman"/>
          <w:color w:val="000000"/>
          <w:sz w:val="24"/>
          <w:u w:val="single"/>
        </w:rPr>
        <w:t>Section 4.2(a)(v)</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i/>
          <w:color w:val="000000"/>
          <w:sz w:val="24"/>
        </w:rPr>
        <w:t>Intellectual Property Rights</w:t>
      </w:r>
      <w:r>
        <w:rPr>
          <w:rFonts w:ascii="Times New Roman" w:hAnsi="Times New Roman"/>
          <w:color w:val="000000"/>
          <w:sz w:val="24"/>
        </w:rPr>
        <w:t xml:space="preserve">” means and includes all intellectual property or other proprietary rights under the laws of any jurisdiction in the world, including, without limitation: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(d) patents and industrial property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rights; (e) other similar proprietary rights in intellectual property of every kind and nature; (f) rights of publicity; and (g) all registrations, renewals, extensions, statutory invention registrations, provisionals, continuations, continuations-in-part, provisionals, divisions, or reissues of, and applications for, any of the 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 including for past, present or future infringement of any of the foregoing.</w:t>
      </w:r>
    </w:p>
    <w:p>
      <w:pPr>
        <w:pStyle w:val="TextBody"/>
        <w:bidi w:val="0"/>
        <w:spacing w:before="0" w:after="240"/>
        <w:jc w:val="both"/>
        <w:rPr/>
      </w:pPr>
      <w:r>
        <w:rPr>
          <w:color w:val="000000"/>
        </w:rPr>
        <w:t>“</w:t>
      </w:r>
      <w:r>
        <w:rPr>
          <w:rFonts w:ascii="Times New Roman" w:hAnsi="Times New Roman"/>
          <w:b/>
          <w:i/>
          <w:color w:val="000000"/>
          <w:sz w:val="24"/>
        </w:rPr>
        <w:t>Intended Tax Treatment</w:t>
      </w:r>
      <w:r>
        <w:rPr>
          <w:rFonts w:ascii="Times New Roman" w:hAnsi="Times New Roman"/>
          <w:color w:val="000000"/>
          <w:sz w:val="24"/>
        </w:rPr>
        <w:t xml:space="preserve">” has the meaning set forth in </w:t>
      </w:r>
      <w:r>
        <w:rPr>
          <w:rFonts w:ascii="Times New Roman" w:hAnsi="Times New Roman"/>
          <w:color w:val="000000"/>
          <w:sz w:val="24"/>
          <w:u w:val="single"/>
        </w:rPr>
        <w:t>Section 4.8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International Employee Plan</w:t>
      </w:r>
      <w:r>
        <w:rPr>
          <w:rFonts w:ascii="Times New Roman" w:hAnsi="Times New Roman"/>
          <w:color w:val="000000"/>
          <w:sz w:val="24"/>
        </w:rPr>
        <w:t xml:space="preserve">” has the meaning set forth in </w:t>
      </w:r>
      <w:r>
        <w:rPr>
          <w:rFonts w:ascii="Times New Roman" w:hAnsi="Times New Roman"/>
          <w:color w:val="000000"/>
          <w:sz w:val="24"/>
          <w:u w:val="single"/>
        </w:rPr>
        <w:t>Section 3.17(m)</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Investor Agreements</w:t>
      </w:r>
      <w:r>
        <w:rPr>
          <w:rFonts w:ascii="Times New Roman" w:hAnsi="Times New Roman"/>
          <w:color w:val="000000"/>
          <w:sz w:val="24"/>
        </w:rPr>
        <w:t xml:space="preserve">” has the meaning set forth in </w:t>
      </w:r>
      <w:r>
        <w:rPr>
          <w:rFonts w:ascii="Times New Roman" w:hAnsi="Times New Roman"/>
          <w:color w:val="000000"/>
          <w:sz w:val="24"/>
          <w:u w:val="single"/>
        </w:rPr>
        <w:t>Section 2.21(b)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Investors</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IRS</w:t>
      </w:r>
      <w:r>
        <w:rPr>
          <w:rFonts w:ascii="Times New Roman" w:hAnsi="Times New Roman"/>
          <w:color w:val="000000"/>
          <w:sz w:val="24"/>
        </w:rPr>
        <w:t>” means the U.S. Internal Revenue Service.</w:t>
      </w:r>
    </w:p>
    <w:p>
      <w:pPr>
        <w:pStyle w:val="TextBody"/>
        <w:bidi w:val="0"/>
        <w:spacing w:before="0" w:after="240"/>
        <w:jc w:val="both"/>
        <w:rPr/>
      </w:pPr>
      <w:r>
        <w:rPr>
          <w:color w:val="000000"/>
        </w:rPr>
        <w:t>“</w:t>
      </w:r>
      <w:r>
        <w:rPr>
          <w:rFonts w:ascii="Times New Roman" w:hAnsi="Times New Roman"/>
          <w:b/>
          <w:i/>
          <w:color w:val="000000"/>
          <w:sz w:val="24"/>
        </w:rPr>
        <w:t>Knowledge</w:t>
      </w:r>
      <w:r>
        <w:rPr>
          <w:rFonts w:ascii="Times New Roman" w:hAnsi="Times New Roman"/>
          <w:color w:val="000000"/>
          <w:sz w:val="24"/>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officer or director of such Person as of the date such knowledge is imputed has Knowledge of such fact or other matter.</w:t>
      </w:r>
    </w:p>
    <w:p>
      <w:pPr>
        <w:pStyle w:val="TextBody"/>
        <w:bidi w:val="0"/>
        <w:spacing w:before="0" w:after="240"/>
        <w:jc w:val="both"/>
        <w:rPr/>
      </w:pPr>
      <w:r>
        <w:rPr>
          <w:color w:val="000000"/>
        </w:rPr>
        <w:t>“</w:t>
      </w:r>
      <w:r>
        <w:rPr>
          <w:rFonts w:ascii="Times New Roman" w:hAnsi="Times New Roman"/>
          <w:b/>
          <w:i/>
          <w:color w:val="000000"/>
          <w:sz w:val="24"/>
        </w:rPr>
        <w:t>Law</w:t>
      </w:r>
      <w:r>
        <w:rPr>
          <w:rFonts w:ascii="Times New Roman" w:hAnsi="Times New Roman"/>
          <w:color w:val="000000"/>
          <w:sz w:val="24"/>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pStyle w:val="TextBody"/>
        <w:bidi w:val="0"/>
        <w:spacing w:before="0" w:after="240"/>
        <w:jc w:val="both"/>
        <w:rPr/>
      </w:pPr>
      <w:r>
        <w:rPr>
          <w:color w:val="000000"/>
        </w:rPr>
        <w:t>“</w:t>
      </w:r>
      <w:r>
        <w:rPr>
          <w:rFonts w:ascii="Times New Roman" w:hAnsi="Times New Roman"/>
          <w:b/>
          <w:i/>
          <w:color w:val="000000"/>
          <w:sz w:val="24"/>
        </w:rPr>
        <w:t>Legal Proceeding</w:t>
      </w:r>
      <w:r>
        <w:rPr>
          <w:rFonts w:ascii="Times New Roman" w:hAnsi="Times New Roman"/>
          <w:color w:val="000000"/>
          <w:sz w:val="24"/>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pStyle w:val="TextBody"/>
        <w:bidi w:val="0"/>
        <w:spacing w:before="0" w:after="240"/>
        <w:jc w:val="both"/>
        <w:rPr/>
      </w:pPr>
      <w:r>
        <w:rPr>
          <w:color w:val="000000"/>
        </w:rPr>
        <w:t>“</w:t>
      </w:r>
      <w:r>
        <w:rPr>
          <w:rFonts w:ascii="Times New Roman" w:hAnsi="Times New Roman"/>
          <w:b/>
          <w:i/>
          <w:color w:val="000000"/>
          <w:sz w:val="24"/>
        </w:rPr>
        <w:t>Liability</w:t>
      </w:r>
      <w:r>
        <w:rPr>
          <w:rFonts w:ascii="Times New Roman" w:hAnsi="Times New Roman"/>
          <w:color w:val="000000"/>
          <w:sz w:val="24"/>
        </w:rPr>
        <w:t xml:space="preserve">” has the meaning set forth in </w:t>
      </w:r>
      <w:r>
        <w:rPr>
          <w:rFonts w:ascii="Times New Roman" w:hAnsi="Times New Roman"/>
          <w:color w:val="000000"/>
          <w:sz w:val="24"/>
          <w:u w:val="single"/>
        </w:rPr>
        <w:t>Section 2.9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Lock-Up Agreement</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Merger</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Merger Consideration</w:t>
      </w:r>
      <w:r>
        <w:rPr>
          <w:rFonts w:ascii="Times New Roman" w:hAnsi="Times New Roman"/>
          <w:color w:val="000000"/>
          <w:sz w:val="24"/>
        </w:rPr>
        <w:t xml:space="preserve">” has the meaning set forth in </w:t>
      </w:r>
      <w:r>
        <w:rPr>
          <w:rFonts w:ascii="Times New Roman" w:hAnsi="Times New Roman"/>
          <w:color w:val="000000"/>
          <w:sz w:val="24"/>
          <w:u w:val="single"/>
        </w:rPr>
        <w:t>Section 1.5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Merger Subs</w:t>
      </w:r>
      <w:r>
        <w:rPr>
          <w:rFonts w:ascii="Times New Roman" w:hAnsi="Times New Roman"/>
          <w:color w:val="000000"/>
          <w:sz w:val="24"/>
        </w:rPr>
        <w:t>” has the meaning set forth in the Preamble.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Nasdaq</w:t>
      </w:r>
      <w:r>
        <w:rPr>
          <w:rFonts w:ascii="Times New Roman" w:hAnsi="Times New Roman"/>
          <w:color w:val="000000"/>
          <w:sz w:val="24"/>
        </w:rPr>
        <w:t>” means the Nasdaq Stock Market, including the Nasdaq Capital Market or such other Nasdaq market on which shares of Parent Common Stock are then listed.</w:t>
      </w:r>
    </w:p>
    <w:p>
      <w:pPr>
        <w:pStyle w:val="TextBody"/>
        <w:bidi w:val="0"/>
        <w:spacing w:before="0" w:after="240"/>
        <w:jc w:val="both"/>
        <w:rPr/>
      </w:pPr>
      <w:r>
        <w:rPr>
          <w:color w:val="000000"/>
        </w:rPr>
        <w:t>“</w:t>
      </w:r>
      <w:r>
        <w:rPr>
          <w:rFonts w:ascii="Times New Roman" w:hAnsi="Times New Roman"/>
          <w:b/>
          <w:i/>
          <w:color w:val="000000"/>
          <w:sz w:val="24"/>
        </w:rPr>
        <w:t>Nasdaq Listing Application</w:t>
      </w:r>
      <w:r>
        <w:rPr>
          <w:rFonts w:ascii="Times New Roman" w:hAnsi="Times New Roman"/>
          <w:color w:val="000000"/>
          <w:sz w:val="24"/>
        </w:rPr>
        <w:t xml:space="preserve">” has the meaning set forth in </w:t>
      </w:r>
      <w:r>
        <w:rPr>
          <w:rFonts w:ascii="Times New Roman" w:hAnsi="Times New Roman"/>
          <w:color w:val="000000"/>
          <w:sz w:val="24"/>
          <w:u w:val="single"/>
        </w:rPr>
        <w:t>Section 4.7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Nasdaq Reverse Split</w:t>
      </w:r>
      <w:r>
        <w:rPr>
          <w:rFonts w:ascii="Times New Roman" w:hAnsi="Times New Roman"/>
          <w:color w:val="000000"/>
          <w:sz w:val="24"/>
        </w:rPr>
        <w:t>” means a reverse stock split of all outstanding shares of Parent Common Stock at a reverse stock split ratio in the range of 1:2 to 1:12 or as otherwise mutually agreed to by Parent and the Company that is effected by Parent for the purpose of maintaining compliance with Nasdaq listing standards or as otherwise deemed advisable by the Company.</w:t>
      </w:r>
    </w:p>
    <w:p>
      <w:pPr>
        <w:pStyle w:val="TextBody"/>
        <w:bidi w:val="0"/>
        <w:spacing w:before="0" w:after="240"/>
        <w:jc w:val="both"/>
        <w:rPr/>
      </w:pPr>
      <w:r>
        <w:rPr>
          <w:color w:val="000000"/>
        </w:rPr>
        <w:t>“</w:t>
      </w:r>
      <w:r>
        <w:rPr>
          <w:rFonts w:ascii="Times New Roman" w:hAnsi="Times New Roman"/>
          <w:b/>
          <w:i/>
          <w:color w:val="000000"/>
          <w:sz w:val="24"/>
        </w:rPr>
        <w:t>OFAC</w:t>
      </w:r>
      <w:r>
        <w:rPr>
          <w:rFonts w:ascii="Times New Roman" w:hAnsi="Times New Roman"/>
          <w:color w:val="000000"/>
          <w:sz w:val="24"/>
        </w:rPr>
        <w:t xml:space="preserve">” has the meaning set forth in </w:t>
      </w:r>
      <w:r>
        <w:rPr>
          <w:rFonts w:ascii="Times New Roman" w:hAnsi="Times New Roman"/>
          <w:color w:val="000000"/>
          <w:sz w:val="24"/>
          <w:u w:val="single"/>
        </w:rPr>
        <w:t>Section 2.24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Ordinary Course of Business</w:t>
      </w:r>
      <w:r>
        <w:rPr>
          <w:rFonts w:ascii="Times New Roman" w:hAnsi="Times New Roman"/>
          <w:color w:val="000000"/>
          <w:sz w:val="24"/>
        </w:rPr>
        <w:t>” means, in the case of each of the Company and Parent, such actions taken in the ordinary course of its normal operations and consistent with its past practices.</w:t>
      </w:r>
    </w:p>
    <w:p>
      <w:pPr>
        <w:pStyle w:val="TextBody"/>
        <w:bidi w:val="0"/>
        <w:spacing w:before="0" w:after="240"/>
        <w:jc w:val="both"/>
        <w:rPr/>
      </w:pPr>
      <w:r>
        <w:rPr>
          <w:color w:val="000000"/>
        </w:rPr>
        <w:t>“</w:t>
      </w:r>
      <w:r>
        <w:rPr>
          <w:rFonts w:ascii="Times New Roman" w:hAnsi="Times New Roman"/>
          <w:b/>
          <w:i/>
          <w:color w:val="000000"/>
          <w:sz w:val="24"/>
        </w:rPr>
        <w:t>Organizational Documents</w:t>
      </w:r>
      <w:r>
        <w:rPr>
          <w:rFonts w:ascii="Times New Roman" w:hAnsi="Times New Roman"/>
          <w:color w:val="000000"/>
          <w:sz w:val="24"/>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pStyle w:val="TextBody"/>
        <w:bidi w:val="0"/>
        <w:spacing w:before="0" w:after="240"/>
        <w:jc w:val="both"/>
        <w:rPr/>
      </w:pPr>
      <w:r>
        <w:rPr>
          <w:color w:val="000000"/>
        </w:rPr>
        <w:t>“</w:t>
      </w:r>
      <w:r>
        <w:rPr>
          <w:rFonts w:ascii="Times New Roman" w:hAnsi="Times New Roman"/>
          <w:b/>
          <w:i/>
          <w:color w:val="000000"/>
          <w:sz w:val="24"/>
        </w:rPr>
        <w:t>Outbound Investment Security Program</w:t>
      </w:r>
      <w:r>
        <w:rPr>
          <w:rFonts w:ascii="Times New Roman" w:hAnsi="Times New Roman"/>
          <w:color w:val="000000"/>
          <w:sz w:val="24"/>
        </w:rPr>
        <w:t xml:space="preserve">” has the meaning set forth in </w:t>
      </w:r>
      <w:r>
        <w:rPr>
          <w:rFonts w:ascii="Times New Roman" w:hAnsi="Times New Roman"/>
          <w:color w:val="000000"/>
          <w:sz w:val="24"/>
          <w:u w:val="single"/>
        </w:rPr>
        <w:t>Section 2.25(a)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w:t>
      </w:r>
      <w:r>
        <w:rPr>
          <w:rFonts w:ascii="Times New Roman" w:hAnsi="Times New Roman"/>
          <w:color w:val="000000"/>
          <w:sz w:val="24"/>
        </w:rPr>
        <w:t>” has the meaning set forth in the Preamble.</w:t>
      </w:r>
    </w:p>
    <w:p>
      <w:pPr>
        <w:pStyle w:val="TextBody"/>
        <w:bidi w:val="0"/>
        <w:spacing w:before="0" w:after="240"/>
        <w:jc w:val="both"/>
        <w:rPr/>
      </w:pPr>
      <w:r>
        <w:rPr>
          <w:color w:val="000000"/>
        </w:rPr>
        <w:t>“</w:t>
      </w:r>
      <w:r>
        <w:rPr>
          <w:rFonts w:ascii="Times New Roman" w:hAnsi="Times New Roman"/>
          <w:b/>
          <w:i/>
          <w:color w:val="000000"/>
          <w:sz w:val="24"/>
        </w:rPr>
        <w:t>Parent Associate</w:t>
      </w:r>
      <w:r>
        <w:rPr>
          <w:rFonts w:ascii="Times New Roman" w:hAnsi="Times New Roman"/>
          <w:color w:val="000000"/>
          <w:sz w:val="24"/>
        </w:rPr>
        <w:t xml:space="preserve">” means any current or former employee, individual independent contractor, individual advisor, individual consultant, officer or director of Parent or any of its Subsidiaries. </w:t>
      </w:r>
    </w:p>
    <w:p>
      <w:pPr>
        <w:pStyle w:val="TextBody"/>
        <w:bidi w:val="0"/>
        <w:spacing w:before="0" w:after="240"/>
        <w:jc w:val="both"/>
        <w:rPr/>
      </w:pPr>
      <w:r>
        <w:rPr>
          <w:color w:val="000000"/>
        </w:rPr>
        <w:t>“</w:t>
      </w:r>
      <w:r>
        <w:rPr>
          <w:rFonts w:ascii="Times New Roman" w:hAnsi="Times New Roman"/>
          <w:b/>
          <w:i/>
          <w:color w:val="000000"/>
          <w:sz w:val="24"/>
        </w:rPr>
        <w:t>Parent Assumed Option</w:t>
      </w:r>
      <w:r>
        <w:rPr>
          <w:rFonts w:ascii="Times New Roman" w:hAnsi="Times New Roman"/>
          <w:color w:val="000000"/>
          <w:sz w:val="24"/>
        </w:rPr>
        <w:t xml:space="preserve">” has the meaning set forth in </w:t>
      </w:r>
      <w:r>
        <w:rPr>
          <w:rFonts w:ascii="Times New Roman" w:hAnsi="Times New Roman"/>
          <w:color w:val="000000"/>
          <w:sz w:val="24"/>
          <w:u w:val="single"/>
        </w:rPr>
        <w:t>Section 1.9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Balance Sheet</w:t>
      </w:r>
      <w:r>
        <w:rPr>
          <w:rFonts w:ascii="Times New Roman" w:hAnsi="Times New Roman"/>
          <w:color w:val="000000"/>
          <w:sz w:val="24"/>
        </w:rPr>
        <w:t>” means the unaudited balance sheet of Parent as of June 30, 2026 (the “</w:t>
      </w:r>
      <w:r>
        <w:rPr>
          <w:rFonts w:ascii="Times New Roman" w:hAnsi="Times New Roman"/>
          <w:b/>
          <w:i/>
          <w:color w:val="000000"/>
          <w:sz w:val="24"/>
        </w:rPr>
        <w:t>Parent Balance Sheet Date</w:t>
      </w:r>
      <w:r>
        <w:rPr>
          <w:rFonts w:ascii="Times New Roman" w:hAnsi="Times New Roman"/>
          <w:color w:val="000000"/>
          <w:sz w:val="24"/>
        </w:rPr>
        <w:t>”) provided to the Company prior to the date of this Agreement.</w:t>
      </w:r>
    </w:p>
    <w:p>
      <w:pPr>
        <w:pStyle w:val="TextBody"/>
        <w:bidi w:val="0"/>
        <w:spacing w:before="0" w:after="240"/>
        <w:jc w:val="both"/>
        <w:rPr/>
      </w:pPr>
      <w:r>
        <w:rPr>
          <w:color w:val="000000"/>
        </w:rPr>
        <w:t>“</w:t>
      </w:r>
      <w:r>
        <w:rPr>
          <w:rFonts w:ascii="Times New Roman" w:hAnsi="Times New Roman"/>
          <w:b/>
          <w:i/>
          <w:color w:val="000000"/>
          <w:sz w:val="24"/>
        </w:rPr>
        <w:t>Parent Benefit Plan</w:t>
      </w:r>
      <w:r>
        <w:rPr>
          <w:rFonts w:ascii="Times New Roman" w:hAnsi="Times New Roman"/>
          <w:color w:val="000000"/>
          <w:sz w:val="24"/>
        </w:rPr>
        <w:t xml:space="preserve">” has the meaning set forth in </w:t>
      </w:r>
      <w:r>
        <w:rPr>
          <w:rFonts w:ascii="Times New Roman" w:hAnsi="Times New Roman"/>
          <w:color w:val="000000"/>
          <w:sz w:val="24"/>
          <w:u w:val="single"/>
        </w:rPr>
        <w:t>Section 3.17(a)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Board</w:t>
      </w:r>
      <w:r>
        <w:rPr>
          <w:rFonts w:ascii="Times New Roman" w:hAnsi="Times New Roman"/>
          <w:color w:val="000000"/>
          <w:sz w:val="24"/>
        </w:rPr>
        <w:t>” means the board of directors of Parent.</w:t>
      </w:r>
    </w:p>
    <w:p>
      <w:pPr>
        <w:pStyle w:val="TextBody"/>
        <w:bidi w:val="0"/>
        <w:spacing w:before="0" w:after="240"/>
        <w:jc w:val="both"/>
        <w:rPr/>
      </w:pPr>
      <w:r>
        <w:rPr>
          <w:color w:val="000000"/>
        </w:rPr>
        <w:t>“</w:t>
      </w:r>
      <w:r>
        <w:rPr>
          <w:rFonts w:ascii="Times New Roman" w:hAnsi="Times New Roman"/>
          <w:b/>
          <w:i/>
          <w:color w:val="000000"/>
          <w:sz w:val="24"/>
        </w:rPr>
        <w:t>Parent Common Stock</w:t>
      </w:r>
      <w:r>
        <w:rPr>
          <w:rFonts w:ascii="Times New Roman" w:hAnsi="Times New Roman"/>
          <w:color w:val="000000"/>
          <w:sz w:val="24"/>
        </w:rPr>
        <w:t>” means the common stock, $0.00001 par value per share, of Parent.</w:t>
      </w:r>
    </w:p>
    <w:p>
      <w:pPr>
        <w:pStyle w:val="TextBody"/>
        <w:bidi w:val="0"/>
        <w:spacing w:before="0" w:after="240"/>
        <w:jc w:val="both"/>
        <w:rPr/>
      </w:pPr>
      <w:r>
        <w:rPr>
          <w:color w:val="000000"/>
        </w:rPr>
        <w:t>“</w:t>
      </w:r>
      <w:r>
        <w:rPr>
          <w:rFonts w:ascii="Times New Roman" w:hAnsi="Times New Roman"/>
          <w:b/>
          <w:i/>
          <w:color w:val="000000"/>
          <w:sz w:val="24"/>
        </w:rPr>
        <w:t>Parent Common Stock Payment Shares</w:t>
      </w:r>
      <w:r>
        <w:rPr>
          <w:rFonts w:ascii="Times New Roman" w:hAnsi="Times New Roman"/>
          <w:color w:val="000000"/>
          <w:sz w:val="24"/>
        </w:rPr>
        <w:t xml:space="preserve">” has the meaning set forth in </w:t>
      </w:r>
      <w:r>
        <w:rPr>
          <w:rFonts w:ascii="Times New Roman" w:hAnsi="Times New Roman"/>
          <w:color w:val="000000"/>
          <w:sz w:val="24"/>
          <w:u w:val="single"/>
        </w:rPr>
        <w:t>Section 1.5</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Parent Contract</w:t>
      </w:r>
      <w:r>
        <w:rPr>
          <w:rFonts w:ascii="Times New Roman" w:hAnsi="Times New Roman"/>
          <w:color w:val="000000"/>
          <w:sz w:val="24"/>
        </w:rPr>
        <w:t>” means any Contract: (a) to which Parent or any of its Subsidiaries is a party; (b) by which Parent or any of its Subsidiaries or any Parent IP or any other asset of Parent or any of its Subsidiaries is or may become bound or under which Parent or any of its Subsidiaries has, or may become subject to, any obligation; or (c) under which Parent or any of its Subsidiaries has or may acquire any right or interest.</w:t>
      </w:r>
    </w:p>
    <w:p>
      <w:pPr>
        <w:pStyle w:val="TextBody"/>
        <w:bidi w:val="0"/>
        <w:spacing w:before="0" w:after="240"/>
        <w:jc w:val="both"/>
        <w:rPr/>
      </w:pPr>
      <w:r>
        <w:rPr>
          <w:color w:val="000000"/>
        </w:rPr>
        <w:t>“</w:t>
      </w:r>
      <w:r>
        <w:rPr>
          <w:rFonts w:ascii="Times New Roman" w:hAnsi="Times New Roman"/>
          <w:b/>
          <w:i/>
          <w:color w:val="000000"/>
          <w:sz w:val="24"/>
        </w:rPr>
        <w:t>Parent Covered Person</w:t>
      </w:r>
      <w:r>
        <w:rPr>
          <w:rFonts w:ascii="Times New Roman" w:hAnsi="Times New Roman"/>
          <w:color w:val="000000"/>
          <w:sz w:val="24"/>
        </w:rPr>
        <w:t>” means, with respect to Parent as an “issuer” for purposes of Rule 506 promulgated under the Securities Act, any Person listed in the first paragraph of Rule 506(d)(1).</w:t>
      </w:r>
    </w:p>
    <w:p>
      <w:pPr>
        <w:pStyle w:val="TextBody"/>
        <w:bidi w:val="0"/>
        <w:spacing w:before="0" w:after="240"/>
        <w:jc w:val="both"/>
        <w:rPr/>
      </w:pPr>
      <w:r>
        <w:rPr>
          <w:color w:val="000000"/>
        </w:rPr>
        <w:t>“</w:t>
      </w:r>
      <w:r>
        <w:rPr>
          <w:rFonts w:ascii="Times New Roman" w:hAnsi="Times New Roman"/>
          <w:b/>
          <w:i/>
          <w:color w:val="000000"/>
          <w:sz w:val="24"/>
        </w:rPr>
        <w:t>Parent Data</w:t>
      </w:r>
      <w:r>
        <w:rPr>
          <w:rFonts w:ascii="Times New Roman" w:hAnsi="Times New Roman"/>
          <w:color w:val="000000"/>
          <w:sz w:val="24"/>
        </w:rPr>
        <w:t xml:space="preserve">” means all data and information Processed by or for Parent or any of its Subsidiaries. </w:t>
      </w:r>
    </w:p>
    <w:p>
      <w:pPr>
        <w:pStyle w:val="TextBody"/>
        <w:bidi w:val="0"/>
        <w:spacing w:before="0" w:after="240"/>
        <w:jc w:val="both"/>
        <w:rPr/>
      </w:pPr>
      <w:r>
        <w:rPr>
          <w:color w:val="000000"/>
        </w:rPr>
        <w:t>“</w:t>
      </w:r>
      <w:r>
        <w:rPr>
          <w:rFonts w:ascii="Times New Roman" w:hAnsi="Times New Roman"/>
          <w:b/>
          <w:i/>
          <w:color w:val="000000"/>
          <w:sz w:val="24"/>
        </w:rPr>
        <w:t>Parent Disclosure Schedule</w:t>
      </w:r>
      <w:r>
        <w:rPr>
          <w:rFonts w:ascii="Times New Roman" w:hAnsi="Times New Roman"/>
          <w:color w:val="000000"/>
          <w:sz w:val="24"/>
        </w:rPr>
        <w:t xml:space="preserve">” has the meaning set forth in </w:t>
      </w:r>
      <w:r>
        <w:rPr>
          <w:rFonts w:ascii="Times New Roman" w:hAnsi="Times New Roman"/>
          <w:color w:val="000000"/>
          <w:sz w:val="24"/>
          <w:u w:val="single"/>
        </w:rPr>
        <w:t>Section 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ERISA Affiliate</w:t>
      </w:r>
      <w:r>
        <w:rPr>
          <w:rFonts w:ascii="Times New Roman" w:hAnsi="Times New Roman"/>
          <w:color w:val="000000"/>
          <w:sz w:val="24"/>
        </w:rPr>
        <w:t>” means any corporation or trade or business (whether or not incorporated) which is (or at any relevant time was) treated with Parent or any of its Subsidiaries as a single employer within the meaning of Section 414 of the Code.</w:t>
      </w:r>
    </w:p>
    <w:p>
      <w:pPr>
        <w:pStyle w:val="TextBody"/>
        <w:bidi w:val="0"/>
        <w:spacing w:before="0" w:after="240"/>
        <w:jc w:val="both"/>
        <w:rPr/>
      </w:pPr>
      <w:r>
        <w:rPr>
          <w:color w:val="000000"/>
        </w:rPr>
        <w:t>“</w:t>
      </w:r>
      <w:r>
        <w:rPr>
          <w:rFonts w:ascii="Times New Roman" w:hAnsi="Times New Roman"/>
          <w:b/>
          <w:i/>
          <w:color w:val="000000"/>
          <w:sz w:val="24"/>
        </w:rPr>
        <w:t>Parent ESPP</w:t>
      </w:r>
      <w:r>
        <w:rPr>
          <w:rFonts w:ascii="Times New Roman" w:hAnsi="Times New Roman"/>
          <w:color w:val="000000"/>
          <w:sz w:val="24"/>
        </w:rPr>
        <w:t>” means Parent’s 2021 Employee Stock Purchase Plan, as may be amended from time to time.</w:t>
      </w:r>
    </w:p>
    <w:p>
      <w:pPr>
        <w:pStyle w:val="TextBody"/>
        <w:bidi w:val="0"/>
        <w:spacing w:before="0" w:after="240"/>
        <w:jc w:val="both"/>
        <w:rPr/>
      </w:pPr>
      <w:r>
        <w:rPr>
          <w:color w:val="000000"/>
        </w:rPr>
        <w:t>“</w:t>
      </w:r>
      <w:r>
        <w:rPr>
          <w:rFonts w:ascii="Times New Roman" w:hAnsi="Times New Roman"/>
          <w:b/>
          <w:i/>
          <w:color w:val="000000"/>
          <w:sz w:val="24"/>
        </w:rPr>
        <w:t>Parent</w:t>
      </w:r>
      <w:r>
        <w:rPr>
          <w:rFonts w:ascii="Times New Roman" w:hAnsi="Times New Roman"/>
          <w:color w:val="000000"/>
          <w:sz w:val="24"/>
        </w:rPr>
        <w:t xml:space="preserve"> </w:t>
      </w:r>
      <w:r>
        <w:rPr>
          <w:rFonts w:ascii="Times New Roman" w:hAnsi="Times New Roman"/>
          <w:b/>
          <w:i/>
          <w:color w:val="000000"/>
          <w:sz w:val="24"/>
        </w:rPr>
        <w:t>Excepted Contracts</w:t>
      </w:r>
      <w:r>
        <w:rPr>
          <w:rFonts w:ascii="Times New Roman" w:hAnsi="Times New Roman"/>
          <w:color w:val="000000"/>
          <w:sz w:val="24"/>
        </w:rPr>
        <w:t>” shall mean (a) nondisclosure agreements entered into in connection with discussions, negotiations and transactions related to this Agreement or any transactions that were evaluated and/or pursued that do not have any continuing obligations, rights or interests binding on Parent or any of its Subsidiaries (other than customary nondisclosure and confidential information nonuse obligations), (b) Parent Standard Outbound Contracts and (c) Parent Standard Inbound Contracts.</w:t>
      </w:r>
    </w:p>
    <w:p>
      <w:pPr>
        <w:pStyle w:val="TextBody"/>
        <w:bidi w:val="0"/>
        <w:spacing w:before="0" w:after="240"/>
        <w:jc w:val="both"/>
        <w:rPr/>
      </w:pPr>
      <w:r>
        <w:rPr>
          <w:color w:val="000000"/>
        </w:rPr>
        <w:t>“</w:t>
      </w:r>
      <w:r>
        <w:rPr>
          <w:rFonts w:ascii="Times New Roman" w:hAnsi="Times New Roman"/>
          <w:b/>
          <w:i/>
          <w:color w:val="000000"/>
          <w:sz w:val="24"/>
        </w:rPr>
        <w:t>Parent Financing</w:t>
      </w:r>
      <w:r>
        <w:rPr>
          <w:rFonts w:ascii="Times New Roman" w:hAnsi="Times New Roman"/>
          <w:color w:val="000000"/>
          <w:sz w:val="24"/>
        </w:rPr>
        <w:t>” means the issuance of shares of Parent Series D Convertible Preferred Stock to be consummated concurrently with the Closing pursuant to the Securities Purchase Agreement with aggregate gross cash proceeds to Parent of at least the Concurrent Investment Amount.</w:t>
      </w:r>
    </w:p>
    <w:p>
      <w:pPr>
        <w:pStyle w:val="TextBody"/>
        <w:bidi w:val="0"/>
        <w:spacing w:before="0" w:after="240"/>
        <w:jc w:val="both"/>
        <w:rPr/>
      </w:pPr>
      <w:r>
        <w:rPr>
          <w:color w:val="000000"/>
        </w:rPr>
        <w:t>“</w:t>
      </w:r>
      <w:r>
        <w:rPr>
          <w:rFonts w:ascii="Times New Roman" w:hAnsi="Times New Roman"/>
          <w:b/>
          <w:i/>
          <w:color w:val="000000"/>
          <w:sz w:val="24"/>
        </w:rPr>
        <w:t>Parent In-bound License</w:t>
      </w:r>
      <w:r>
        <w:rPr>
          <w:rFonts w:ascii="Times New Roman" w:hAnsi="Times New Roman"/>
          <w:color w:val="000000"/>
          <w:sz w:val="24"/>
        </w:rPr>
        <w:t xml:space="preserve">” has the meaning set forth in </w:t>
      </w:r>
      <w:r>
        <w:rPr>
          <w:rFonts w:ascii="Times New Roman" w:hAnsi="Times New Roman"/>
          <w:color w:val="000000"/>
          <w:sz w:val="24"/>
          <w:u w:val="single"/>
        </w:rPr>
        <w:t>Section 3.12(d)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IP</w:t>
      </w:r>
      <w:r>
        <w:rPr>
          <w:rFonts w:ascii="Times New Roman" w:hAnsi="Times New Roman"/>
          <w:color w:val="000000"/>
          <w:sz w:val="24"/>
        </w:rPr>
        <w:t>” means all Intellectual Property Rights that are owned or purported to be owned by, assigned to, or exclusively licensed by, Parent or any of its Subsidiaries.</w:t>
      </w:r>
    </w:p>
    <w:p>
      <w:pPr>
        <w:pStyle w:val="TextBody"/>
        <w:bidi w:val="0"/>
        <w:spacing w:before="0" w:after="240"/>
        <w:jc w:val="both"/>
        <w:rPr/>
      </w:pPr>
      <w:r>
        <w:rPr>
          <w:color w:val="000000"/>
        </w:rPr>
        <w:t>“</w:t>
      </w:r>
      <w:r>
        <w:rPr>
          <w:rFonts w:ascii="Times New Roman" w:hAnsi="Times New Roman"/>
          <w:b/>
          <w:i/>
          <w:color w:val="000000"/>
          <w:sz w:val="24"/>
        </w:rPr>
        <w:t>Parent Material Adverse Effect</w:t>
      </w:r>
      <w:r>
        <w:rPr>
          <w:rFonts w:ascii="Times New Roman" w:hAnsi="Times New Roman"/>
          <w:color w:val="000000"/>
          <w:sz w:val="24"/>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condition (financial or otherwise), assets, liabilities or results of operations of Parent and its Subsidiaries, taken as a whole; </w:t>
      </w:r>
      <w:r>
        <w:rPr>
          <w:rFonts w:ascii="Times New Roman" w:hAnsi="Times New Roman"/>
          <w:i/>
          <w:color w:val="000000"/>
          <w:sz w:val="24"/>
        </w:rPr>
        <w:t xml:space="preserve">provided, however, </w:t>
      </w:r>
      <w:r>
        <w:rPr>
          <w:rFonts w:ascii="Times New Roman" w:hAnsi="Times New Roman"/>
          <w:color w:val="000000"/>
          <w:sz w:val="24"/>
        </w:rPr>
        <w:t xml:space="preserve">that Effects arising or resulting from the following shall not be taken into account in determining whether there has been a Parent Material Adverse Effect: (a) general business, political or economic conditions affecting the industry in which Parent operates, (b) acts of war, armed hostilities or terrorism, acts of God, natural disaster or comparable events, epidemic, pandemic or disease outbreak or any worsening of the foregoing, or any declaration of martial law, quarantine or similar directive, policy or guidance or Law or other action by any Governmental Body in response thereto, (c) changes in financial, banking or securities markets, (d) the taking of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action required to be taken by this Agreement, (e)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(f) any change in, or any compliance with or action taken for the purpose of complying with, any Law or GAAP (or interpretations of any Law or GAAP); (g) resulting from the announcement of this Agreement or the pendency of the Contemplated Transactions; or (h) resulting from the taking of any action, or the failure to take any action, by Parent that is required to be taken or not taken in accordance with this Agreement, except in each case with respect to clauses (a) through (c), to the extent disproportionately affecting Parent relative to other similarly situated companies in the industries in which Parent operates.</w:t>
      </w:r>
    </w:p>
    <w:p>
      <w:pPr>
        <w:pStyle w:val="TextBody"/>
        <w:bidi w:val="0"/>
        <w:spacing w:before="0" w:after="240"/>
        <w:jc w:val="both"/>
        <w:rPr/>
      </w:pPr>
      <w:r>
        <w:rPr>
          <w:color w:val="000000"/>
        </w:rPr>
        <w:t>“</w:t>
      </w:r>
      <w:r>
        <w:rPr>
          <w:rFonts w:ascii="Times New Roman" w:hAnsi="Times New Roman"/>
          <w:b/>
          <w:i/>
          <w:color w:val="000000"/>
          <w:sz w:val="24"/>
        </w:rPr>
        <w:t>Parent Material Contract(s)</w:t>
      </w:r>
      <w:r>
        <w:rPr>
          <w:rFonts w:ascii="Times New Roman" w:hAnsi="Times New Roman"/>
          <w:color w:val="000000"/>
          <w:sz w:val="24"/>
        </w:rPr>
        <w:t xml:space="preserve">” has the meaning set forth in </w:t>
      </w:r>
      <w:r>
        <w:rPr>
          <w:rFonts w:ascii="Times New Roman" w:hAnsi="Times New Roman"/>
          <w:color w:val="000000"/>
          <w:sz w:val="24"/>
          <w:u w:val="single"/>
        </w:rPr>
        <w:t>Section 3.13(a)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Net Cash</w:t>
      </w:r>
      <w:r>
        <w:rPr>
          <w:rFonts w:ascii="Times New Roman" w:hAnsi="Times New Roman"/>
          <w:color w:val="000000"/>
          <w:sz w:val="18"/>
        </w:rPr>
        <w:t xml:space="preserve">” </w:t>
      </w:r>
      <w:r>
        <w:rPr>
          <w:rFonts w:ascii="Times New Roman" w:hAnsi="Times New Roman"/>
          <w:color w:val="000000"/>
          <w:sz w:val="24"/>
        </w:rPr>
        <w:t xml:space="preserve">means without duplication, (a) Parent’s unrestricted cash and cash equivalents and marketable securities determined in accordance with GAAP </w:t>
      </w:r>
      <w:r>
        <w:rPr>
          <w:rFonts w:ascii="Times New Roman" w:hAnsi="Times New Roman"/>
          <w:i/>
          <w:color w:val="000000"/>
          <w:sz w:val="24"/>
        </w:rPr>
        <w:t xml:space="preserve">minus </w:t>
      </w:r>
      <w:r>
        <w:rPr>
          <w:rFonts w:ascii="Times New Roman" w:hAnsi="Times New Roman"/>
          <w:color w:val="000000"/>
          <w:sz w:val="24"/>
        </w:rPr>
        <w:t>(b) the sum of (i) short-term and long-term obligations and liabilities (whether absolute, contingent, accrued, matured or unmatured) accrued by Parent or its Subsidiaries as of the Closing Date, determined in accordance with GAAP (including accrued accounts payable and accrued expenses), (ii) the aggregate amount of all fees and expenses incurred or reasonably expected to be incurred by Parent as a result of any Legal Proceedings, including any legal settlements, in each case, to the extent not covered by the D&amp;O Tail Policy, including any amounts in excess of the deductible under the D&amp;O Tail Policy, (iii) the aggregate amount (without duplication) of all fees and expenses incurred by Parent prior to the First Effective Time in connection with the negotiation, execution and delivery of this Agreement and the Contemplated Transactions, including: (A) any fees and expenses of legal counsel, accountants, financial advisors, investment bankers, brokers, consultants, tax advisors, and other professional advisors of Parent (collectively, the “</w:t>
      </w:r>
      <w:r>
        <w:rPr>
          <w:rFonts w:ascii="Times New Roman" w:hAnsi="Times New Roman"/>
          <w:b/>
          <w:i/>
          <w:color w:val="000000"/>
          <w:sz w:val="24"/>
        </w:rPr>
        <w:t>Parent Advisors</w:t>
      </w:r>
      <w:r>
        <w:rPr>
          <w:rFonts w:ascii="Times New Roman" w:hAnsi="Times New Roman"/>
          <w:color w:val="000000"/>
          <w:sz w:val="18"/>
        </w:rPr>
        <w:t>”</w:t>
      </w:r>
      <w:r>
        <w:rPr>
          <w:rFonts w:ascii="Times New Roman" w:hAnsi="Times New Roman"/>
          <w:color w:val="000000"/>
          <w:sz w:val="24"/>
        </w:rPr>
        <w:t>), including any payments payable in connection with the Contemplated Transactions to such Parent Advisors following the Closing as long as such fees were incurred prior to the Closing in connection with the Contemplated Transactions; (B) any bonus, retention payments, severance, change-in-control payments, or similar payment obligations (including payments with “single-trigger” or “double-trigger” provisions triggered by the Contemplated Transactions) that are due or payable to any director, officer, employee, independent contractor, advisor or consultant</w:t>
      </w:r>
      <w:r>
        <w:rPr>
          <w:rFonts w:ascii="Times New Roman" w:hAnsi="Times New Roman"/>
          <w:color w:val="0000FF"/>
          <w:sz w:val="18"/>
        </w:rPr>
        <w:t xml:space="preserve"> </w:t>
      </w:r>
      <w:r>
        <w:rPr>
          <w:rFonts w:ascii="Times New Roman" w:hAnsi="Times New Roman"/>
          <w:color w:val="000000"/>
          <w:sz w:val="24"/>
        </w:rPr>
        <w:t xml:space="preserve">(whether prior to, concurrent with or following the Closing), together with the employer portion of any payroll Taxes associated therewith; (C) any severance or termination-related payments payable or similar payment obligations (including unpaid wages, salary and accrued but unused time-off) as of the Closing Date as a result of Parent terminating the employment or engagement of its then employees, independent contractors, advisors or consultants (if any) as of the Closing; (D) the costs associated with obtaining the D&amp;O Tail Policy pursuant to </w:t>
      </w:r>
      <w:r>
        <w:rPr>
          <w:rFonts w:ascii="Times New Roman" w:hAnsi="Times New Roman"/>
          <w:color w:val="000000"/>
          <w:sz w:val="24"/>
          <w:u w:val="single"/>
        </w:rPr>
        <w:t>Section ‎4.5</w:t>
      </w:r>
      <w:r>
        <w:rPr>
          <w:rFonts w:ascii="Times New Roman" w:hAnsi="Times New Roman"/>
          <w:color w:val="000000"/>
          <w:sz w:val="24"/>
        </w:rPr>
        <w:t>; and (E) any transfer, documentary, sales, use, stamp, registration, value added, and other similar Taxes and fees incurred in connection with this Agreement and/or the Contemplated Transactions, (iv) any accrued and unpaid Taxes of Parent for Tax periods (or portions thereof) ending on or before the Closing Date, (v) any fees, costs and expenses (whether paid or accrued, and whether arising before, on or after the Closing Date) relating to or reasonably estimated in connection with the completion, close-out or discontinuation of Parent’s ongoing clinical and preclinical trials and research programs, including payments to contract research organizations, investigators, consultants and other vendors in connection therewith, and (vi) all costs and expenses relating to the winding down of Parent’s legacy business, including lease termination</w:t>
      </w:r>
      <w:r>
        <w:rPr>
          <w:rFonts w:ascii="Times New Roman" w:hAnsi="Times New Roman"/>
          <w:color w:val="000000"/>
          <w:sz w:val="18"/>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costs (if any), notice payments, fines or other payments to be made by Parent in order to terminate any existing agreement to which Parent is a party and the sale, license or other disposition of such Parent’s legacy business to the extent unpaid as of the Closing, including any costs incurred by the Company (including the Surviving Entity) following the Closing. For avoidance of doubt, the calculation of Parent Net Cash may result in a number below $0. </w:t>
      </w:r>
    </w:p>
    <w:p>
      <w:pPr>
        <w:pStyle w:val="TextBody"/>
        <w:bidi w:val="0"/>
        <w:spacing w:before="0" w:after="240"/>
        <w:jc w:val="both"/>
        <w:rPr/>
      </w:pPr>
      <w:r>
        <w:rPr>
          <w:color w:val="000000"/>
        </w:rPr>
        <w:t>“</w:t>
      </w:r>
      <w:r>
        <w:rPr>
          <w:rFonts w:ascii="Times New Roman" w:hAnsi="Times New Roman"/>
          <w:b/>
          <w:i/>
          <w:color w:val="000000"/>
          <w:sz w:val="24"/>
        </w:rPr>
        <w:t>Parent Options</w:t>
      </w:r>
      <w:r>
        <w:rPr>
          <w:rFonts w:ascii="Times New Roman" w:hAnsi="Times New Roman"/>
          <w:color w:val="000000"/>
          <w:sz w:val="24"/>
        </w:rPr>
        <w:t>” means options or other rights to purchase shares of Parent Common Stock issued by Parent (other than purchase rights under the Parent ESPP).</w:t>
      </w:r>
    </w:p>
    <w:p>
      <w:pPr>
        <w:pStyle w:val="TextBody"/>
        <w:bidi w:val="0"/>
        <w:spacing w:before="0" w:after="240"/>
        <w:jc w:val="both"/>
        <w:rPr/>
      </w:pPr>
      <w:r>
        <w:rPr>
          <w:color w:val="000000"/>
        </w:rPr>
        <w:t>“</w:t>
      </w:r>
      <w:r>
        <w:rPr>
          <w:rFonts w:ascii="Times New Roman" w:hAnsi="Times New Roman"/>
          <w:b/>
          <w:i/>
          <w:color w:val="000000"/>
          <w:sz w:val="24"/>
        </w:rPr>
        <w:t>Parent Out-bound License</w:t>
      </w:r>
      <w:r>
        <w:rPr>
          <w:rFonts w:ascii="Times New Roman" w:hAnsi="Times New Roman"/>
          <w:color w:val="000000"/>
          <w:sz w:val="24"/>
        </w:rPr>
        <w:t xml:space="preserve">” has the meaning set forth in </w:t>
      </w:r>
      <w:r>
        <w:rPr>
          <w:rFonts w:ascii="Times New Roman" w:hAnsi="Times New Roman"/>
          <w:color w:val="000000"/>
          <w:sz w:val="24"/>
          <w:u w:val="single"/>
        </w:rPr>
        <w:t>Section 3.12(d)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Outstanding Shares Certificate</w:t>
      </w:r>
      <w:r>
        <w:rPr>
          <w:rFonts w:ascii="Times New Roman" w:hAnsi="Times New Roman"/>
          <w:color w:val="000000"/>
          <w:sz w:val="24"/>
        </w:rPr>
        <w:t xml:space="preserve">” has the meaning set forth in </w:t>
      </w:r>
      <w:r>
        <w:rPr>
          <w:rFonts w:ascii="Times New Roman" w:hAnsi="Times New Roman"/>
          <w:color w:val="000000"/>
          <w:sz w:val="24"/>
          <w:u w:val="single"/>
        </w:rPr>
        <w:t>Section 4.13(b)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Permits</w:t>
      </w:r>
      <w:r>
        <w:rPr>
          <w:rFonts w:ascii="Times New Roman" w:hAnsi="Times New Roman"/>
          <w:color w:val="000000"/>
          <w:sz w:val="24"/>
        </w:rPr>
        <w:t xml:space="preserve">” has the meaning set forth in </w:t>
      </w:r>
      <w:r>
        <w:rPr>
          <w:rFonts w:ascii="Times New Roman" w:hAnsi="Times New Roman"/>
          <w:color w:val="000000"/>
          <w:sz w:val="24"/>
          <w:u w:val="single"/>
        </w:rPr>
        <w:t>Section 3.14(c)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Preferred Stock Payment Shares</w:t>
      </w:r>
      <w:r>
        <w:rPr>
          <w:rFonts w:ascii="Times New Roman" w:hAnsi="Times New Roman"/>
          <w:color w:val="000000"/>
          <w:sz w:val="24"/>
        </w:rPr>
        <w:t xml:space="preserve">” has the meaning set forth in </w:t>
      </w:r>
      <w:r>
        <w:rPr>
          <w:rFonts w:ascii="Times New Roman" w:hAnsi="Times New Roman"/>
          <w:color w:val="000000"/>
          <w:sz w:val="24"/>
          <w:u w:val="single"/>
        </w:rPr>
        <w:t>Section 1.5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Real Estate Leases</w:t>
      </w:r>
      <w:r>
        <w:rPr>
          <w:rFonts w:ascii="Times New Roman" w:hAnsi="Times New Roman"/>
          <w:color w:val="000000"/>
          <w:sz w:val="24"/>
        </w:rPr>
        <w:t xml:space="preserve">” has the meaning set forth in </w:t>
      </w:r>
      <w:r>
        <w:rPr>
          <w:rFonts w:ascii="Times New Roman" w:hAnsi="Times New Roman"/>
          <w:color w:val="000000"/>
          <w:sz w:val="24"/>
          <w:u w:val="single"/>
        </w:rPr>
        <w:t>Section 3.11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RSUs</w:t>
      </w:r>
      <w:r>
        <w:rPr>
          <w:rFonts w:ascii="Times New Roman" w:hAnsi="Times New Roman"/>
          <w:color w:val="000000"/>
          <w:sz w:val="24"/>
        </w:rPr>
        <w:t>” means any restricted stock unit award granted pursuant to the Parent Stock Plans.</w:t>
      </w:r>
    </w:p>
    <w:p>
      <w:pPr>
        <w:pStyle w:val="TextBody"/>
        <w:bidi w:val="0"/>
        <w:spacing w:before="0" w:after="240"/>
        <w:jc w:val="both"/>
        <w:rPr/>
      </w:pPr>
      <w:r>
        <w:rPr>
          <w:color w:val="000000"/>
        </w:rPr>
        <w:t>“</w:t>
      </w:r>
      <w:r>
        <w:rPr>
          <w:rFonts w:ascii="Times New Roman" w:hAnsi="Times New Roman"/>
          <w:b/>
          <w:i/>
          <w:color w:val="000000"/>
          <w:sz w:val="24"/>
        </w:rPr>
        <w:t>Parent SEC Documents</w:t>
      </w:r>
      <w:r>
        <w:rPr>
          <w:rFonts w:ascii="Times New Roman" w:hAnsi="Times New Roman"/>
          <w:color w:val="000000"/>
          <w:sz w:val="24"/>
        </w:rPr>
        <w:t xml:space="preserve">” has the meaning set forth in </w:t>
      </w:r>
      <w:r>
        <w:rPr>
          <w:rFonts w:ascii="Times New Roman" w:hAnsi="Times New Roman"/>
          <w:color w:val="000000"/>
          <w:sz w:val="24"/>
          <w:u w:val="single"/>
        </w:rPr>
        <w:t>Section 3.7(a)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Parent Series D Convertible Preferred Stock</w:t>
      </w:r>
      <w:r>
        <w:rPr>
          <w:rFonts w:ascii="Times New Roman" w:hAnsi="Times New Roman"/>
          <w:color w:val="000000"/>
          <w:sz w:val="24"/>
        </w:rPr>
        <w:t>” means Parent’s non-voting convertible preferred stock, par value $0.00001 per share, with the rights, preferences, powers and privileges specified in the Series D Certificate of Designation.</w:t>
      </w:r>
    </w:p>
    <w:p>
      <w:pPr>
        <w:pStyle w:val="TextBody"/>
        <w:bidi w:val="0"/>
        <w:spacing w:before="0" w:after="240"/>
        <w:jc w:val="both"/>
        <w:rPr/>
      </w:pPr>
      <w:r>
        <w:rPr>
          <w:color w:val="000000"/>
        </w:rPr>
        <w:t>“</w:t>
      </w:r>
      <w:r>
        <w:rPr>
          <w:rFonts w:ascii="Times New Roman" w:hAnsi="Times New Roman"/>
          <w:b/>
          <w:i/>
          <w:color w:val="000000"/>
          <w:sz w:val="24"/>
        </w:rPr>
        <w:t>Parent Signatories</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Parent</w:t>
      </w:r>
      <w:r>
        <w:rPr>
          <w:rFonts w:ascii="Times New Roman" w:hAnsi="Times New Roman"/>
          <w:color w:val="000000"/>
          <w:sz w:val="24"/>
        </w:rPr>
        <w:t xml:space="preserve"> </w:t>
      </w:r>
      <w:r>
        <w:rPr>
          <w:rFonts w:ascii="Times New Roman" w:hAnsi="Times New Roman"/>
          <w:b/>
          <w:i/>
          <w:color w:val="000000"/>
          <w:sz w:val="24"/>
        </w:rPr>
        <w:t>Standard Inbound Contracts</w:t>
      </w:r>
      <w:r>
        <w:rPr>
          <w:rFonts w:ascii="Times New Roman" w:hAnsi="Times New Roman"/>
          <w:color w:val="000000"/>
          <w:sz w:val="24"/>
        </w:rPr>
        <w:t>” shall mean each of the following Contracts when entered into in the Ordinary Course of Business: material transfer agreements, services agreements, clinical trial agreements, agreements with Parent Associates, non-disclosure agreements, commercially available Software-as-a-Service offerings, off-the-shelf software and any other Contract pursuant to which Parent or any of its Subsidiaries obtains research, development, manufacturing or other services from a third party and that contains a non-exclusive license to Intellectual Property Rights that is incidental to such Contract.</w:t>
      </w:r>
    </w:p>
    <w:p>
      <w:pPr>
        <w:pStyle w:val="TextBody"/>
        <w:bidi w:val="0"/>
        <w:spacing w:before="0" w:after="240"/>
        <w:jc w:val="both"/>
        <w:rPr/>
      </w:pPr>
      <w:r>
        <w:rPr>
          <w:color w:val="000000"/>
        </w:rPr>
        <w:t>“</w:t>
      </w:r>
      <w:r>
        <w:rPr>
          <w:rFonts w:ascii="Times New Roman" w:hAnsi="Times New Roman"/>
          <w:b/>
          <w:i/>
          <w:color w:val="000000"/>
          <w:sz w:val="24"/>
        </w:rPr>
        <w:t>Parent Standard Outbound Contracts</w:t>
      </w:r>
      <w:r>
        <w:rPr>
          <w:rFonts w:ascii="Times New Roman" w:hAnsi="Times New Roman"/>
          <w:color w:val="000000"/>
          <w:sz w:val="24"/>
        </w:rPr>
        <w:t>” shall mean each of the following Contracts when entered into in the Ordinary Course of Business: material transfer agreements, clinical trial agreements, services agreements, non-disclosure agreements and any other Contract pursuant to which Parent or any of its Subsidiaries grants to a third party Person a non-exclusive license to Intellectual Property Rights solely for such third party Person to provide research, development, manufacturing or other services to Parent or any of its Subsidiaries.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Parent Stock Plans</w:t>
      </w:r>
      <w:r>
        <w:rPr>
          <w:rFonts w:ascii="Times New Roman" w:hAnsi="Times New Roman"/>
          <w:color w:val="000000"/>
          <w:sz w:val="24"/>
        </w:rPr>
        <w:t>” means collectively, the Parent 2015 Equity Incentive Plan, the Parent 2021 Equity Incentive Plan and the Parent 2021 Employee Stock Purchase Plan, each as may be amended from time to time.</w:t>
      </w:r>
    </w:p>
    <w:p>
      <w:pPr>
        <w:pStyle w:val="TextBody"/>
        <w:bidi w:val="0"/>
        <w:spacing w:before="0" w:after="240"/>
        <w:jc w:val="both"/>
        <w:rPr/>
      </w:pPr>
      <w:r>
        <w:rPr>
          <w:color w:val="000000"/>
        </w:rPr>
        <w:t>“</w:t>
      </w:r>
      <w:r>
        <w:rPr>
          <w:rFonts w:ascii="Times New Roman" w:hAnsi="Times New Roman"/>
          <w:b/>
          <w:i/>
          <w:color w:val="000000"/>
          <w:sz w:val="24"/>
        </w:rPr>
        <w:t>Parent Stockholder Matters</w:t>
      </w:r>
      <w:r>
        <w:rPr>
          <w:rFonts w:ascii="Times New Roman" w:hAnsi="Times New Roman"/>
          <w:color w:val="000000"/>
          <w:sz w:val="24"/>
        </w:rPr>
        <w:t xml:space="preserve">” means the Initial Parent Stockholder Matters and the Additional Parent Stockholder Matters, collectively. </w:t>
      </w:r>
    </w:p>
    <w:p>
      <w:pPr>
        <w:pStyle w:val="TextBody"/>
        <w:bidi w:val="0"/>
        <w:spacing w:before="0" w:after="240"/>
        <w:jc w:val="both"/>
        <w:rPr/>
      </w:pPr>
      <w:r>
        <w:rPr>
          <w:color w:val="000000"/>
        </w:rPr>
        <w:t>“</w:t>
      </w:r>
      <w:r>
        <w:rPr>
          <w:rFonts w:ascii="Times New Roman" w:hAnsi="Times New Roman"/>
          <w:b/>
          <w:i/>
          <w:color w:val="000000"/>
          <w:sz w:val="24"/>
        </w:rPr>
        <w:t>Parent Stockholder</w:t>
      </w:r>
      <w:r>
        <w:rPr>
          <w:rFonts w:ascii="Times New Roman" w:hAnsi="Times New Roman"/>
          <w:color w:val="000000"/>
          <w:sz w:val="24"/>
        </w:rPr>
        <w:t xml:space="preserve"> </w:t>
      </w:r>
      <w:r>
        <w:rPr>
          <w:rFonts w:ascii="Times New Roman" w:hAnsi="Times New Roman"/>
          <w:b/>
          <w:i/>
          <w:color w:val="000000"/>
          <w:sz w:val="24"/>
        </w:rPr>
        <w:t>Support Agreement</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Parent Stockholders’ Meetings</w:t>
      </w:r>
      <w:r>
        <w:rPr>
          <w:rFonts w:ascii="Times New Roman" w:hAnsi="Times New Roman"/>
          <w:color w:val="000000"/>
          <w:sz w:val="24"/>
        </w:rPr>
        <w:t>” means the First Parent Stockholders’ Meeting and the Second Parent Stockholders’ Meeting, collectively.</w:t>
      </w:r>
    </w:p>
    <w:p>
      <w:pPr>
        <w:pStyle w:val="TextBody"/>
        <w:bidi w:val="0"/>
        <w:spacing w:before="0" w:after="240"/>
        <w:jc w:val="both"/>
        <w:rPr/>
      </w:pPr>
      <w:r>
        <w:rPr>
          <w:color w:val="000000"/>
        </w:rPr>
        <w:t>“</w:t>
      </w:r>
      <w:r>
        <w:rPr>
          <w:rFonts w:ascii="Times New Roman" w:hAnsi="Times New Roman"/>
          <w:b/>
          <w:i/>
          <w:color w:val="000000"/>
          <w:sz w:val="24"/>
        </w:rPr>
        <w:t>Party</w:t>
      </w:r>
      <w:r>
        <w:rPr>
          <w:rFonts w:ascii="Times New Roman" w:hAnsi="Times New Roman"/>
          <w:color w:val="000000"/>
          <w:sz w:val="24"/>
        </w:rPr>
        <w:t>” or “</w:t>
      </w:r>
      <w:r>
        <w:rPr>
          <w:rFonts w:ascii="Times New Roman" w:hAnsi="Times New Roman"/>
          <w:b/>
          <w:i/>
          <w:color w:val="000000"/>
          <w:sz w:val="24"/>
        </w:rPr>
        <w:t>Parties</w:t>
      </w:r>
      <w:r>
        <w:rPr>
          <w:rFonts w:ascii="Times New Roman" w:hAnsi="Times New Roman"/>
          <w:color w:val="000000"/>
          <w:sz w:val="24"/>
        </w:rPr>
        <w:t>” means the Company, First Merger Sub, Second Merger Sub and Parent.</w:t>
      </w:r>
    </w:p>
    <w:p>
      <w:pPr>
        <w:pStyle w:val="TextBody"/>
        <w:bidi w:val="0"/>
        <w:spacing w:before="0" w:after="240"/>
        <w:jc w:val="both"/>
        <w:rPr/>
      </w:pPr>
      <w:r>
        <w:rPr>
          <w:color w:val="000000"/>
        </w:rPr>
        <w:t>“</w:t>
      </w:r>
      <w:r>
        <w:rPr>
          <w:rFonts w:ascii="Times New Roman" w:hAnsi="Times New Roman"/>
          <w:b/>
          <w:i/>
          <w:color w:val="000000"/>
          <w:sz w:val="24"/>
        </w:rPr>
        <w:t>PEO</w:t>
      </w:r>
      <w:r>
        <w:rPr>
          <w:rFonts w:ascii="Times New Roman" w:hAnsi="Times New Roman"/>
          <w:color w:val="000000"/>
          <w:sz w:val="24"/>
        </w:rPr>
        <w:t>” means a professional employer organization, co-employer organization, or employer of record.</w:t>
      </w:r>
    </w:p>
    <w:p>
      <w:pPr>
        <w:pStyle w:val="TextBody"/>
        <w:bidi w:val="0"/>
        <w:spacing w:before="0" w:after="240"/>
        <w:jc w:val="both"/>
        <w:rPr/>
      </w:pPr>
      <w:r>
        <w:rPr>
          <w:color w:val="000000"/>
        </w:rPr>
        <w:t>“</w:t>
      </w:r>
      <w:r>
        <w:rPr>
          <w:rFonts w:ascii="Times New Roman" w:hAnsi="Times New Roman"/>
          <w:b/>
          <w:i/>
          <w:color w:val="000000"/>
          <w:sz w:val="24"/>
        </w:rPr>
        <w:t>Permitted Encumbrance</w:t>
      </w:r>
      <w:r>
        <w:rPr>
          <w:rFonts w:ascii="Times New Roman" w:hAnsi="Times New Roman"/>
          <w:color w:val="000000"/>
          <w:sz w:val="24"/>
        </w:rPr>
        <w:t>” means: (a) any Encumbrance for current Taxes not yet due and payable, or for Taxes that are being contested in good faith and for which adequate reserves have been made on the Company Unaudited Interim Balance Sheet or the Parent Balance Sheet, as applicable, in accordance with GAAP; (b) minor liens that have arisen in the Ordinary Course of Business and that do not (in any case or in the aggregate) materially detract from the value of the assets or properties subject thereto or materially impair the operations of the Company or any of its Subsidiaries or Parent or any of its Subsidiaries, as applicable; (c)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Rights granted by the Company or any of its Subsidiaries or Parent or any of its Subsidiaries, as applicable, in the Ordinary Course of Business and that do not (in any case or in the aggregate) materially detract from the value of the Intellectual Property Rights subject thereto; and (f) statutory liens in favor of carriers, warehousemen, mechanics and materialmen, to secure claims for labor, materials or supplies.</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4"/>
        </w:rPr>
        <w:t>” means any individual, Entity or Governmental Body.</w:t>
      </w:r>
    </w:p>
    <w:p>
      <w:pPr>
        <w:pStyle w:val="TextBody"/>
        <w:bidi w:val="0"/>
        <w:spacing w:before="0" w:after="240"/>
        <w:jc w:val="both"/>
        <w:rPr/>
      </w:pPr>
      <w:r>
        <w:rPr>
          <w:color w:val="000000"/>
        </w:rPr>
        <w:t>“</w:t>
      </w:r>
      <w:r>
        <w:rPr>
          <w:rFonts w:ascii="Times New Roman" w:hAnsi="Times New Roman"/>
          <w:b/>
          <w:i/>
          <w:color w:val="000000"/>
          <w:sz w:val="24"/>
        </w:rPr>
        <w:t>PHSA</w:t>
      </w:r>
      <w:r>
        <w:rPr>
          <w:rFonts w:ascii="Times New Roman" w:hAnsi="Times New Roman"/>
          <w:color w:val="000000"/>
          <w:sz w:val="24"/>
        </w:rPr>
        <w:t xml:space="preserve">” has the meaning set forth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Preferred Stock Conversion Proposal</w:t>
      </w:r>
      <w:r>
        <w:rPr>
          <w:rFonts w:ascii="Times New Roman" w:hAnsi="Times New Roman"/>
          <w:color w:val="000000"/>
          <w:sz w:val="24"/>
        </w:rPr>
        <w:t xml:space="preserve">” has the meaning set forth in </w:t>
      </w:r>
      <w:r>
        <w:rPr>
          <w:rFonts w:ascii="Times New Roman" w:hAnsi="Times New Roman"/>
          <w:color w:val="000000"/>
          <w:sz w:val="24"/>
          <w:u w:val="single"/>
        </w:rPr>
        <w:t>Section 1.5</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i/>
          <w:color w:val="000000"/>
          <w:sz w:val="24"/>
        </w:rPr>
        <w:t>Privacy and Data Processing Requirements</w:t>
      </w:r>
      <w:r>
        <w:rPr>
          <w:rFonts w:ascii="Times New Roman" w:hAnsi="Times New Roman"/>
          <w:color w:val="000000"/>
          <w:sz w:val="24"/>
        </w:rPr>
        <w:t>” means any applicable (i) Law relating to privacy, data protection, or security, (ii) Data Processing Policy, or (iii) requirement of any self-regulatory organization, industry standard (including, as applicable, the Payment Card Industry Data Security Standard), or Contract by which, as applicable, the Company, Parent or their respective Subsidiaries are bound relating to the Processing of Company Data or Parent Data (as applicable), privacy, data protection, or security, including, in each case of (i) through (iii), in connection with direct marketing or the initiation, transmission, monitoring, interception, recording, or receipt of communications.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Process</w:t>
      </w:r>
      <w:r>
        <w:rPr>
          <w:rFonts w:ascii="Times New Roman" w:hAnsi="Times New Roman"/>
          <w:color w:val="000000"/>
          <w:sz w:val="24"/>
        </w:rPr>
        <w:t>” means, with respect to any data, information, or information technology system,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pStyle w:val="TextBody"/>
        <w:bidi w:val="0"/>
        <w:spacing w:before="0" w:after="240"/>
        <w:jc w:val="both"/>
        <w:rPr/>
      </w:pPr>
      <w:r>
        <w:rPr>
          <w:color w:val="000000"/>
        </w:rPr>
        <w:t>“</w:t>
      </w:r>
      <w:r>
        <w:rPr>
          <w:rFonts w:ascii="Times New Roman" w:hAnsi="Times New Roman"/>
          <w:b/>
          <w:i/>
          <w:color w:val="000000"/>
          <w:sz w:val="24"/>
        </w:rPr>
        <w:t>Proxy Statement</w:t>
      </w:r>
      <w:r>
        <w:rPr>
          <w:rFonts w:ascii="Times New Roman" w:hAnsi="Times New Roman"/>
          <w:color w:val="000000"/>
          <w:sz w:val="24"/>
        </w:rPr>
        <w:t xml:space="preserve">” has the meaning set forth in </w:t>
      </w:r>
      <w:r>
        <w:rPr>
          <w:rFonts w:ascii="Times New Roman" w:hAnsi="Times New Roman"/>
          <w:color w:val="000000"/>
          <w:sz w:val="24"/>
          <w:u w:val="single"/>
        </w:rPr>
        <w:t>Section 4.3(a)</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i/>
          <w:color w:val="000000"/>
          <w:sz w:val="24"/>
        </w:rPr>
        <w:t>Reference Date</w:t>
      </w:r>
      <w:r>
        <w:rPr>
          <w:rFonts w:ascii="Times New Roman" w:hAnsi="Times New Roman"/>
          <w:color w:val="000000"/>
          <w:sz w:val="24"/>
        </w:rPr>
        <w:t>” means October 21, 2026.</w:t>
      </w:r>
    </w:p>
    <w:p>
      <w:pPr>
        <w:pStyle w:val="TextBody"/>
        <w:bidi w:val="0"/>
        <w:spacing w:before="0" w:after="240"/>
        <w:jc w:val="both"/>
        <w:rPr/>
      </w:pPr>
      <w:r>
        <w:rPr>
          <w:color w:val="000000"/>
        </w:rPr>
        <w:t>“</w:t>
      </w:r>
      <w:r>
        <w:rPr>
          <w:rFonts w:ascii="Times New Roman" w:hAnsi="Times New Roman"/>
          <w:b/>
          <w:i/>
          <w:color w:val="000000"/>
          <w:sz w:val="24"/>
        </w:rPr>
        <w:t>Registered IP</w:t>
      </w:r>
      <w:r>
        <w:rPr>
          <w:rFonts w:ascii="Times New Roman" w:hAnsi="Times New Roman"/>
          <w:color w:val="000000"/>
          <w:sz w:val="24"/>
        </w:rPr>
        <w:t>” means all Intellectual Property Rights that are registered or issued under the authority of, with or by any Governmental Body or private registrar, including all patents, registered copyrights, registered mask works, and registered trademarks, service marks and trade dress, and domain names all applications for any of the foregoing.</w:t>
      </w:r>
    </w:p>
    <w:p>
      <w:pPr>
        <w:pStyle w:val="TextBody"/>
        <w:bidi w:val="0"/>
        <w:spacing w:before="0" w:after="240"/>
        <w:jc w:val="both"/>
        <w:rPr/>
      </w:pPr>
      <w:r>
        <w:rPr>
          <w:color w:val="000000"/>
        </w:rPr>
        <w:t>“</w:t>
      </w:r>
      <w:r>
        <w:rPr>
          <w:rFonts w:ascii="Times New Roman" w:hAnsi="Times New Roman"/>
          <w:b/>
          <w:i/>
          <w:color w:val="000000"/>
          <w:sz w:val="24"/>
        </w:rPr>
        <w:t>Registration Statement</w:t>
      </w:r>
      <w:r>
        <w:rPr>
          <w:rFonts w:ascii="Times New Roman" w:hAnsi="Times New Roman"/>
          <w:color w:val="000000"/>
          <w:sz w:val="24"/>
        </w:rPr>
        <w:t xml:space="preserve">” has the meaning set forth in </w:t>
      </w:r>
      <w:r>
        <w:rPr>
          <w:rFonts w:ascii="Times New Roman" w:hAnsi="Times New Roman"/>
          <w:color w:val="000000"/>
          <w:sz w:val="24"/>
          <w:u w:val="single"/>
        </w:rPr>
        <w:t>Section 4.2(d)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Representatives</w:t>
      </w:r>
      <w:r>
        <w:rPr>
          <w:rFonts w:ascii="Times New Roman" w:hAnsi="Times New Roman"/>
          <w:color w:val="000000"/>
          <w:sz w:val="24"/>
        </w:rPr>
        <w:t xml:space="preserve">” means directors, officers, employees, agents, attorneys, accountants, investment bankers, advisors and representatives. </w:t>
      </w:r>
    </w:p>
    <w:p>
      <w:pPr>
        <w:pStyle w:val="TextBody"/>
        <w:bidi w:val="0"/>
        <w:spacing w:before="0" w:after="240"/>
        <w:jc w:val="both"/>
        <w:rPr/>
      </w:pPr>
      <w:r>
        <w:rPr>
          <w:color w:val="000000"/>
        </w:rPr>
        <w:t>“</w:t>
      </w:r>
      <w:r>
        <w:rPr>
          <w:rFonts w:ascii="Times New Roman" w:hAnsi="Times New Roman"/>
          <w:b/>
          <w:i/>
          <w:color w:val="000000"/>
          <w:sz w:val="24"/>
        </w:rPr>
        <w:t>Required Company Stockholder Vote</w:t>
      </w:r>
      <w:r>
        <w:rPr>
          <w:rFonts w:ascii="Times New Roman" w:hAnsi="Times New Roman"/>
          <w:color w:val="000000"/>
          <w:sz w:val="24"/>
        </w:rPr>
        <w:t xml:space="preserve">” has the meaning set forth in </w:t>
      </w:r>
      <w:r>
        <w:rPr>
          <w:rFonts w:ascii="Times New Roman" w:hAnsi="Times New Roman"/>
          <w:color w:val="000000"/>
          <w:sz w:val="24"/>
          <w:u w:val="single"/>
        </w:rPr>
        <w:t>Section 2.4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Required Parent Stockholder Vote</w:t>
      </w:r>
      <w:r>
        <w:rPr>
          <w:rFonts w:ascii="Times New Roman" w:hAnsi="Times New Roman"/>
          <w:color w:val="000000"/>
          <w:sz w:val="24"/>
        </w:rPr>
        <w:t>” means the First Required Parent Stockholder Vote and the Second Required Parent Stockholder Vote, collectively.</w:t>
      </w:r>
    </w:p>
    <w:p>
      <w:pPr>
        <w:pStyle w:val="TextBody"/>
        <w:bidi w:val="0"/>
        <w:spacing w:before="0" w:after="240"/>
        <w:jc w:val="both"/>
        <w:rPr/>
      </w:pPr>
      <w:r>
        <w:rPr>
          <w:color w:val="000000"/>
        </w:rPr>
        <w:t>“</w:t>
      </w:r>
      <w:r>
        <w:rPr>
          <w:rFonts w:ascii="Times New Roman" w:hAnsi="Times New Roman"/>
          <w:b/>
          <w:i/>
          <w:color w:val="000000"/>
          <w:sz w:val="24"/>
        </w:rPr>
        <w:t>Sanctioned Party</w:t>
      </w:r>
      <w:r>
        <w:rPr>
          <w:rFonts w:ascii="Times New Roman" w:hAnsi="Times New Roman"/>
          <w:color w:val="000000"/>
          <w:sz w:val="24"/>
        </w:rPr>
        <w:t xml:space="preserve">” has the meaning set forth in </w:t>
      </w:r>
      <w:r>
        <w:rPr>
          <w:rFonts w:ascii="Times New Roman" w:hAnsi="Times New Roman"/>
          <w:color w:val="000000"/>
          <w:sz w:val="24"/>
          <w:u w:val="single"/>
        </w:rPr>
        <w:t>Section 2.24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Sarbanes-Oxley Act</w:t>
      </w:r>
      <w:r>
        <w:rPr>
          <w:rFonts w:ascii="Times New Roman" w:hAnsi="Times New Roman"/>
          <w:color w:val="000000"/>
          <w:sz w:val="24"/>
        </w:rPr>
        <w:t>” means the Sarbanes-Oxley Act of 2002.</w:t>
      </w:r>
    </w:p>
    <w:p>
      <w:pPr>
        <w:pStyle w:val="TextBody"/>
        <w:bidi w:val="0"/>
        <w:spacing w:before="0" w:after="240"/>
        <w:jc w:val="both"/>
        <w:rPr/>
      </w:pPr>
      <w:r>
        <w:rPr>
          <w:color w:val="000000"/>
        </w:rPr>
        <w:t>“</w:t>
      </w:r>
      <w:r>
        <w:rPr>
          <w:rFonts w:ascii="Times New Roman" w:hAnsi="Times New Roman"/>
          <w:b/>
          <w:i/>
          <w:color w:val="000000"/>
          <w:sz w:val="24"/>
        </w:rPr>
        <w:t>SEC</w:t>
      </w:r>
      <w:r>
        <w:rPr>
          <w:rFonts w:ascii="Times New Roman" w:hAnsi="Times New Roman"/>
          <w:color w:val="000000"/>
          <w:sz w:val="24"/>
        </w:rPr>
        <w:t>” means the United States Securities and Exchange Commission.</w:t>
      </w:r>
    </w:p>
    <w:p>
      <w:pPr>
        <w:pStyle w:val="TextBody"/>
        <w:bidi w:val="0"/>
        <w:spacing w:before="0" w:after="240"/>
        <w:jc w:val="both"/>
        <w:rPr/>
      </w:pPr>
      <w:r>
        <w:rPr>
          <w:color w:val="000000"/>
        </w:rPr>
        <w:t>“</w:t>
      </w:r>
      <w:r>
        <w:rPr>
          <w:rFonts w:ascii="Times New Roman" w:hAnsi="Times New Roman"/>
          <w:b/>
          <w:i/>
          <w:color w:val="000000"/>
          <w:sz w:val="24"/>
        </w:rPr>
        <w:t>Second Certificate of Merger</w:t>
      </w:r>
      <w:r>
        <w:rPr>
          <w:rFonts w:ascii="Times New Roman" w:hAnsi="Times New Roman"/>
          <w:color w:val="000000"/>
          <w:sz w:val="24"/>
        </w:rPr>
        <w:t xml:space="preserve">” has the meaning set forth in </w:t>
      </w:r>
      <w:r>
        <w:rPr>
          <w:rFonts w:ascii="Times New Roman" w:hAnsi="Times New Roman"/>
          <w:color w:val="000000"/>
          <w:sz w:val="24"/>
          <w:u w:val="single"/>
        </w:rPr>
        <w:t>Section 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Second Effective Time</w:t>
      </w:r>
      <w:r>
        <w:rPr>
          <w:rFonts w:ascii="Times New Roman" w:hAnsi="Times New Roman"/>
          <w:color w:val="000000"/>
          <w:sz w:val="24"/>
        </w:rPr>
        <w:t xml:space="preserve">” has the meaning set forth in </w:t>
      </w:r>
      <w:r>
        <w:rPr>
          <w:rFonts w:ascii="Times New Roman" w:hAnsi="Times New Roman"/>
          <w:color w:val="000000"/>
          <w:sz w:val="24"/>
          <w:u w:val="single"/>
        </w:rPr>
        <w:t>Section 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Second Merger</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Second Merger Sub</w:t>
      </w:r>
      <w:r>
        <w:rPr>
          <w:rFonts w:ascii="Times New Roman" w:hAnsi="Times New Roman"/>
          <w:color w:val="000000"/>
          <w:sz w:val="24"/>
        </w:rPr>
        <w:t>” has the meaning set forth in the Preamble.</w:t>
      </w:r>
    </w:p>
    <w:p>
      <w:pPr>
        <w:pStyle w:val="TextBody"/>
        <w:bidi w:val="0"/>
        <w:spacing w:before="0" w:after="240"/>
        <w:jc w:val="both"/>
        <w:rPr/>
      </w:pPr>
      <w:r>
        <w:rPr>
          <w:color w:val="000000"/>
        </w:rPr>
        <w:t>“</w:t>
      </w:r>
      <w:r>
        <w:rPr>
          <w:rFonts w:ascii="Times New Roman" w:hAnsi="Times New Roman"/>
          <w:b/>
          <w:i/>
          <w:color w:val="000000"/>
          <w:sz w:val="24"/>
        </w:rPr>
        <w:t>Second Required Parent Stockholder Vote</w:t>
      </w:r>
      <w:r>
        <w:rPr>
          <w:rFonts w:ascii="Times New Roman" w:hAnsi="Times New Roman"/>
          <w:color w:val="000000"/>
          <w:sz w:val="24"/>
        </w:rPr>
        <w:t xml:space="preserve">” has the meaning set forth in </w:t>
      </w:r>
      <w:r>
        <w:rPr>
          <w:rFonts w:ascii="Times New Roman" w:hAnsi="Times New Roman"/>
          <w:color w:val="000000"/>
          <w:sz w:val="24"/>
          <w:u w:val="single"/>
        </w:rPr>
        <w:t>Section 3.4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 xml:space="preserve">Second Parent Stockholders’ Meeting” </w:t>
      </w:r>
      <w:r>
        <w:rPr>
          <w:rFonts w:ascii="Times New Roman" w:hAnsi="Times New Roman"/>
          <w:color w:val="000000"/>
          <w:sz w:val="24"/>
        </w:rPr>
        <w:t xml:space="preserve">has the meaning set forth in </w:t>
      </w:r>
      <w:r>
        <w:rPr>
          <w:rFonts w:ascii="Times New Roman" w:hAnsi="Times New Roman"/>
          <w:color w:val="000000"/>
          <w:sz w:val="24"/>
          <w:u w:val="single"/>
        </w:rPr>
        <w:t>Section 4.2(a)(v)</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Securities Act</w:t>
      </w:r>
      <w:r>
        <w:rPr>
          <w:rFonts w:ascii="Times New Roman" w:hAnsi="Times New Roman"/>
          <w:color w:val="000000"/>
          <w:sz w:val="24"/>
        </w:rPr>
        <w:t>” means the Securities Act of 1933, as amended.</w:t>
      </w:r>
    </w:p>
    <w:p>
      <w:pPr>
        <w:pStyle w:val="TextBody"/>
        <w:bidi w:val="0"/>
        <w:spacing w:before="0" w:after="240"/>
        <w:jc w:val="both"/>
        <w:rPr/>
      </w:pPr>
      <w:r>
        <w:rPr>
          <w:color w:val="000000"/>
        </w:rPr>
        <w:t>“</w:t>
      </w:r>
      <w:r>
        <w:rPr>
          <w:rFonts w:ascii="Times New Roman" w:hAnsi="Times New Roman"/>
          <w:b/>
          <w:i/>
          <w:color w:val="000000"/>
          <w:sz w:val="24"/>
        </w:rPr>
        <w:t>Securities Purchase Agreement</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i/>
          <w:color w:val="000000"/>
          <w:sz w:val="24"/>
        </w:rPr>
        <w:t>Series D Certificate of Designation</w:t>
      </w:r>
      <w:r>
        <w:rPr>
          <w:rFonts w:ascii="Times New Roman" w:hAnsi="Times New Roman"/>
          <w:color w:val="000000"/>
          <w:sz w:val="24"/>
        </w:rPr>
        <w:t xml:space="preserve">” means the Certificate of Designation of Preferences, Rights and Limitations of Parent Series D Convertible Preferred Stock in the form attached hereto as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Stockholder Written Consent</w:t>
      </w:r>
      <w:r>
        <w:rPr>
          <w:rFonts w:ascii="Times New Roman" w:hAnsi="Times New Roman"/>
          <w:color w:val="000000"/>
          <w:sz w:val="24"/>
        </w:rPr>
        <w:t>” has the meaning set forth in the Recitals.</w:t>
      </w:r>
    </w:p>
    <w:p>
      <w:pPr>
        <w:pStyle w:val="TextBody"/>
        <w:bidi w:val="0"/>
        <w:spacing w:before="0" w:after="240"/>
        <w:jc w:val="both"/>
        <w:rPr>
          <w:rFonts w:ascii="Times New Roman" w:hAnsi="Times New Roman"/>
          <w:sz w:val="24"/>
        </w:rPr>
      </w:pPr>
      <w:r>
        <w:rPr>
          <w:rFonts w:ascii="Times New Roman" w:hAnsi="Times New Roman"/>
          <w:color w:val="000000"/>
          <w:sz w:val="24"/>
        </w:rPr>
        <w:t>An entity shall be deemed to be a “</w:t>
      </w:r>
      <w:r>
        <w:rPr>
          <w:rFonts w:ascii="Times New Roman" w:hAnsi="Times New Roman"/>
          <w:b/>
          <w:i/>
          <w:color w:val="000000"/>
          <w:sz w:val="24"/>
        </w:rPr>
        <w:t>Subsidiary</w:t>
      </w:r>
      <w:r>
        <w:rPr>
          <w:rFonts w:ascii="Times New Roman" w:hAnsi="Times New Roman"/>
          <w:color w:val="000000"/>
          <w:sz w:val="24"/>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pStyle w:val="TextBody"/>
        <w:bidi w:val="0"/>
        <w:spacing w:before="0" w:after="240"/>
        <w:jc w:val="both"/>
        <w:rPr/>
      </w:pPr>
      <w:r>
        <w:rPr>
          <w:color w:val="000000"/>
        </w:rPr>
        <w:t>“</w:t>
      </w:r>
      <w:r>
        <w:rPr>
          <w:rFonts w:ascii="Times New Roman" w:hAnsi="Times New Roman"/>
          <w:b/>
          <w:i/>
          <w:color w:val="000000"/>
          <w:sz w:val="24"/>
        </w:rPr>
        <w:t>Surviving Entity</w:t>
      </w:r>
      <w:r>
        <w:rPr>
          <w:rFonts w:ascii="Times New Roman" w:hAnsi="Times New Roman"/>
          <w:color w:val="000000"/>
          <w:sz w:val="24"/>
        </w:rPr>
        <w:t xml:space="preserve">” has the meaning set forth in </w:t>
      </w:r>
      <w:r>
        <w:rPr>
          <w:rFonts w:ascii="Times New Roman" w:hAnsi="Times New Roman"/>
          <w:color w:val="000000"/>
          <w:sz w:val="24"/>
          <w:u w:val="single"/>
        </w:rPr>
        <w:t>Section 1.1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Takeover Statute</w:t>
      </w:r>
      <w:r>
        <w:rPr>
          <w:rFonts w:ascii="Times New Roman" w:hAnsi="Times New Roman"/>
          <w:color w:val="000000"/>
          <w:sz w:val="24"/>
        </w:rPr>
        <w:t>” means any “fair price,” “moratorium,” “control share acquisition” or other similar anti-takeover Law.</w:t>
      </w:r>
    </w:p>
    <w:p>
      <w:pPr>
        <w:pStyle w:val="TextBody"/>
        <w:bidi w:val="0"/>
        <w:spacing w:before="0" w:after="240"/>
        <w:jc w:val="both"/>
        <w:rPr/>
      </w:pPr>
      <w:r>
        <w:rPr>
          <w:color w:val="000000"/>
        </w:rPr>
        <w:t>“</w:t>
      </w:r>
      <w:r>
        <w:rPr>
          <w:rFonts w:ascii="Times New Roman" w:hAnsi="Times New Roman"/>
          <w:b/>
          <w:i/>
          <w:color w:val="000000"/>
          <w:sz w:val="24"/>
        </w:rPr>
        <w:t>Tax</w:t>
      </w:r>
      <w:r>
        <w:rPr>
          <w:rFonts w:ascii="Times New Roman" w:hAnsi="Times New Roman"/>
          <w:color w:val="000000"/>
          <w:sz w:val="24"/>
        </w:rPr>
        <w:t>” means any (i) federal, state, local, foreign or 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or other taxes, duties, fees, assessments or governmental charges, surtaxes or deficiencies thereof in the nature of a tax, however denominated (whether imposed directly or through withholding and whether or not disputed), and including any fine, penalty, addition to tax, or interest or additional amount imposed by a Governmental Body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otherwise.</w:t>
      </w:r>
    </w:p>
    <w:p>
      <w:pPr>
        <w:pStyle w:val="TextBody"/>
        <w:bidi w:val="0"/>
        <w:spacing w:before="0" w:after="240"/>
        <w:jc w:val="both"/>
        <w:rPr/>
      </w:pPr>
      <w:r>
        <w:rPr>
          <w:color w:val="000000"/>
        </w:rPr>
        <w:t>“</w:t>
      </w:r>
      <w:r>
        <w:rPr>
          <w:rFonts w:ascii="Times New Roman" w:hAnsi="Times New Roman"/>
          <w:b/>
          <w:i/>
          <w:color w:val="000000"/>
          <w:sz w:val="24"/>
        </w:rPr>
        <w:t>Tax Return</w:t>
      </w:r>
      <w:r>
        <w:rPr>
          <w:rFonts w:ascii="Times New Roman" w:hAnsi="Times New Roman"/>
          <w:color w:val="000000"/>
          <w:sz w:val="24"/>
        </w:rPr>
        <w:t>” means any return (including any information return), report, statement, declaration, claim for refund, estimate, schedule, notice, notification, form, election, certificate or other document, and any amendment or supplement to any of the foregoing, filed with or submitted to, or required to be filed with or submitted to, any Governmental Body (or provided to a payee) in connection with the determination, assessment, collection or payment of any Tax or in connection with the administration, implementation or enforcement of or compliance with any Law relating to any Tax.</w:t>
      </w:r>
    </w:p>
    <w:p>
      <w:pPr>
        <w:pStyle w:val="TextBody"/>
        <w:bidi w:val="0"/>
        <w:spacing w:before="0" w:after="240"/>
        <w:jc w:val="both"/>
        <w:rPr/>
      </w:pPr>
      <w:r>
        <w:rPr>
          <w:color w:val="000000"/>
        </w:rPr>
        <w:t>“</w:t>
      </w:r>
      <w:r>
        <w:rPr>
          <w:rFonts w:ascii="Times New Roman" w:hAnsi="Times New Roman"/>
          <w:b/>
          <w:i/>
          <w:color w:val="000000"/>
          <w:sz w:val="24"/>
        </w:rPr>
        <w:t>Third Effective Time</w:t>
      </w:r>
      <w:r>
        <w:rPr>
          <w:rFonts w:ascii="Times New Roman" w:hAnsi="Times New Roman"/>
          <w:color w:val="000000"/>
          <w:sz w:val="24"/>
        </w:rPr>
        <w:t xml:space="preserve">” means the time promptly following (and, in any event, within three (3) Business Days) the approval of the Parent Stockholder Matters and approval of the Nasdaq Listing Application if applicable. </w:t>
      </w:r>
    </w:p>
    <w:p>
      <w:pPr>
        <w:pStyle w:val="TextBody"/>
        <w:bidi w:val="0"/>
        <w:spacing w:before="0" w:after="240"/>
        <w:jc w:val="both"/>
        <w:rPr/>
      </w:pPr>
      <w:r>
        <w:rPr>
          <w:color w:val="000000"/>
        </w:rPr>
        <w:t>“</w:t>
      </w:r>
      <w:r>
        <w:rPr>
          <w:rFonts w:ascii="Times New Roman" w:hAnsi="Times New Roman"/>
          <w:b/>
          <w:i/>
          <w:color w:val="000000"/>
          <w:sz w:val="24"/>
        </w:rPr>
        <w:t>Trade Laws</w:t>
      </w:r>
      <w:r>
        <w:rPr>
          <w:rFonts w:ascii="Times New Roman" w:hAnsi="Times New Roman"/>
          <w:color w:val="000000"/>
          <w:sz w:val="24"/>
        </w:rPr>
        <w:t xml:space="preserve">” has the meaning set forth in </w:t>
      </w:r>
      <w:r>
        <w:rPr>
          <w:rFonts w:ascii="Times New Roman" w:hAnsi="Times New Roman"/>
          <w:color w:val="000000"/>
          <w:sz w:val="24"/>
          <w:u w:val="single"/>
        </w:rPr>
        <w:t>Section 2.24</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i/>
          <w:color w:val="000000"/>
          <w:sz w:val="24"/>
        </w:rPr>
        <w:t>Treasury Regulations</w:t>
      </w:r>
      <w:r>
        <w:rPr>
          <w:rFonts w:ascii="Times New Roman" w:hAnsi="Times New Roman"/>
          <w:color w:val="000000"/>
          <w:sz w:val="24"/>
        </w:rPr>
        <w:t>” means the U.S. Treasury regulations promulgated under the Code.</w:t>
      </w:r>
    </w:p>
    <w:p>
      <w:pPr>
        <w:pStyle w:val="TextBody"/>
        <w:bidi w:val="0"/>
        <w:spacing w:before="0" w:after="240"/>
        <w:jc w:val="both"/>
        <w:rPr/>
      </w:pPr>
      <w:r>
        <w:rPr>
          <w:color w:val="000000"/>
        </w:rPr>
        <w:t>“</w:t>
      </w:r>
      <w:r>
        <w:rPr>
          <w:rFonts w:ascii="Times New Roman" w:hAnsi="Times New Roman"/>
          <w:b/>
          <w:i/>
          <w:color w:val="000000"/>
          <w:sz w:val="24"/>
        </w:rPr>
        <w:t>WARN Act</w:t>
      </w:r>
      <w:r>
        <w:rPr>
          <w:rFonts w:ascii="Times New Roman" w:hAnsi="Times New Roman"/>
          <w:color w:val="000000"/>
          <w:sz w:val="24"/>
        </w:rPr>
        <w:t>” means the Worker Adjustment Retraining and Notification Act of 1988, as amended, and any similar state or local plant closing mass layoff statute, rule or regulation.</w:t>
      </w:r>
    </w:p>
    <w:p>
      <w:pPr>
        <w:pStyle w:val="TextBody"/>
        <w:bidi w:val="0"/>
        <w:spacing w:before="0" w:after="240"/>
        <w:jc w:val="both"/>
        <w:rPr/>
      </w:pPr>
      <w:r>
        <w:rPr>
          <w:color w:val="000000"/>
        </w:rPr>
        <w:t>“</w:t>
      </w:r>
      <w:r>
        <w:rPr>
          <w:rFonts w:ascii="Times New Roman" w:hAnsi="Times New Roman"/>
          <w:b/>
          <w:i/>
          <w:color w:val="000000"/>
          <w:sz w:val="24"/>
        </w:rPr>
        <w:t>Withholding Agent</w:t>
      </w:r>
      <w:r>
        <w:rPr>
          <w:rFonts w:ascii="Times New Roman" w:hAnsi="Times New Roman"/>
          <w:color w:val="000000"/>
          <w:sz w:val="24"/>
        </w:rPr>
        <w:t xml:space="preserve">” has the meaning set forth in </w:t>
      </w:r>
      <w:r>
        <w:rPr>
          <w:rFonts w:ascii="Times New Roman" w:hAnsi="Times New Roman"/>
          <w:color w:val="000000"/>
          <w:sz w:val="24"/>
          <w:u w:val="single"/>
        </w:rPr>
        <w:t>Section 1.13</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Form of Series D Certificate of Designation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Form of Lock-Up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D</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Form of Parent Support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E</w:t>
      </w:r>
    </w:p>
    <w:p>
      <w:pPr>
        <w:pStyle w:val="TextBody"/>
        <w:bidi w:val="0"/>
        <w:spacing w:before="0" w:after="240"/>
        <w:jc w:val="center"/>
        <w:rPr>
          <w:rFonts w:ascii="Times New Roman" w:hAnsi="Times New Roman"/>
          <w:sz w:val="24"/>
        </w:rPr>
      </w:pPr>
      <w:r>
        <w:rPr>
          <w:rFonts w:ascii="Times New Roman" w:hAnsi="Times New Roman"/>
          <w:b/>
          <w:color w:val="000000"/>
          <w:sz w:val="24"/>
          <w:u w:val="single"/>
        </w:rPr>
        <w:t>Form of A&amp;R Certificate of Formation of Second Merger Sub</w:t>
      </w:r>
      <w:r>
        <w:rPr>
          <w:rFonts w:ascii="Times New Roman" w:hAnsi="Times New Roman"/>
          <w:color w:val="000000"/>
          <w:sz w:val="24"/>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F</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Form of A&amp;R Limited Liability Company Agreement of Second Merger Sub</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Schedule 4.6</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Filings, Notices and Consents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 w:name="bolt-ex3_1.htm"/>
      <w:bookmarkStart w:id="5" w:name="ksboltex3_1"/>
      <w:bookmarkEnd w:id="4"/>
      <w:bookmarkEnd w:id="5"/>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BOLT BIOTHERAPEUTICS, INC.</w:t>
      </w:r>
    </w:p>
    <w:p>
      <w:pPr>
        <w:pStyle w:val="TextBody"/>
        <w:bidi w:val="0"/>
        <w:jc w:val="center"/>
        <w:rPr>
          <w:rFonts w:ascii="Times New Roman" w:hAnsi="Times New Roman"/>
          <w:b/>
          <w:color w:val="000000"/>
          <w:sz w:val="22"/>
        </w:rPr>
      </w:pPr>
      <w:r>
        <w:rPr>
          <w:rFonts w:ascii="Times New Roman" w:hAnsi="Times New Roman"/>
          <w:b/>
          <w:color w:val="000000"/>
          <w:sz w:val="22"/>
        </w:rPr>
        <w:t>CERTIFICATE OF DESIGNATION OF PREFERENCES,</w:t>
      </w:r>
    </w:p>
    <w:p>
      <w:pPr>
        <w:pStyle w:val="TextBody"/>
        <w:bidi w:val="0"/>
        <w:jc w:val="center"/>
        <w:rPr>
          <w:rFonts w:ascii="Times New Roman" w:hAnsi="Times New Roman"/>
          <w:b/>
          <w:color w:val="000000"/>
          <w:sz w:val="22"/>
        </w:rPr>
      </w:pPr>
      <w:r>
        <w:rPr>
          <w:rFonts w:ascii="Times New Roman" w:hAnsi="Times New Roman"/>
          <w:b/>
          <w:color w:val="000000"/>
          <w:sz w:val="22"/>
        </w:rPr>
        <w:t>RIGHTS AND LIMITATIONS</w:t>
      </w:r>
    </w:p>
    <w:p>
      <w:pPr>
        <w:pStyle w:val="TextBody"/>
        <w:bidi w:val="0"/>
        <w:jc w:val="center"/>
        <w:rPr>
          <w:rFonts w:ascii="Times New Roman" w:hAnsi="Times New Roman"/>
          <w:b/>
          <w:color w:val="000000"/>
          <w:sz w:val="22"/>
        </w:rPr>
      </w:pPr>
      <w:r>
        <w:rPr>
          <w:rFonts w:ascii="Times New Roman" w:hAnsi="Times New Roman"/>
          <w:b/>
          <w:color w:val="000000"/>
          <w:sz w:val="22"/>
        </w:rPr>
        <w:t>OF</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SERIES D NON-VOTING CONVERTIBLE PREFERRED STOCK</w:t>
      </w:r>
    </w:p>
    <w:p>
      <w:pPr>
        <w:pStyle w:val="TextBody"/>
        <w:bidi w:val="0"/>
        <w:jc w:val="center"/>
        <w:rPr>
          <w:rFonts w:ascii="Times New Roman" w:hAnsi="Times New Roman"/>
          <w:color w:val="000000"/>
          <w:sz w:val="22"/>
        </w:rPr>
      </w:pPr>
      <w:r>
        <w:rPr>
          <w:rFonts w:ascii="Times New Roman" w:hAnsi="Times New Roman"/>
          <w:color w:val="000000"/>
          <w:sz w:val="22"/>
        </w:rPr>
        <w:t>Pursuant to Section 151 of the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General Corporation Law of the State of Delaware</w:t>
      </w:r>
    </w:p>
    <w:p>
      <w:pPr>
        <w:pStyle w:val="TextBody"/>
        <w:bidi w:val="0"/>
        <w:spacing w:before="0" w:after="240"/>
        <w:jc w:val="both"/>
        <w:rPr>
          <w:rFonts w:ascii="Times New Roman" w:hAnsi="Times New Roman"/>
          <w:sz w:val="22"/>
        </w:rPr>
      </w:pPr>
      <w:r>
        <w:rPr>
          <w:rFonts w:ascii="Times New Roman" w:hAnsi="Times New Roman"/>
          <w:color w:val="000000"/>
          <w:sz w:val="22"/>
        </w:rPr>
        <w:t>THE UNDERSIGNED DOES HEREBY CERTIFY, on behalf of Bolt Biotherapeutics, Inc., a Delaware corporation (the “</w:t>
      </w:r>
      <w:r>
        <w:rPr>
          <w:rFonts w:ascii="Times New Roman" w:hAnsi="Times New Roman"/>
          <w:b/>
          <w:i/>
          <w:color w:val="000000"/>
          <w:sz w:val="22"/>
        </w:rPr>
        <w:t>Corporation</w:t>
      </w:r>
      <w:r>
        <w:rPr>
          <w:rFonts w:ascii="Times New Roman" w:hAnsi="Times New Roman"/>
          <w:color w:val="000000"/>
          <w:sz w:val="22"/>
        </w:rPr>
        <w:t>”), that the following resolution was duly adopted by the Board of Directors of the Corporation (the “</w:t>
      </w:r>
      <w:r>
        <w:rPr>
          <w:rFonts w:ascii="Times New Roman" w:hAnsi="Times New Roman"/>
          <w:b/>
          <w:i/>
          <w:color w:val="000000"/>
          <w:sz w:val="22"/>
        </w:rPr>
        <w:t>Board of Directors</w:t>
      </w:r>
      <w:r>
        <w:rPr>
          <w:rFonts w:ascii="Times New Roman" w:hAnsi="Times New Roman"/>
          <w:color w:val="000000"/>
          <w:sz w:val="22"/>
        </w:rPr>
        <w:t>”), in accordance with the provisions of Section 151 of the General Corporation Law of the State of Delaware (the “</w:t>
      </w:r>
      <w:r>
        <w:rPr>
          <w:rFonts w:ascii="Times New Roman" w:hAnsi="Times New Roman"/>
          <w:b/>
          <w:i/>
          <w:color w:val="000000"/>
          <w:sz w:val="22"/>
        </w:rPr>
        <w:t>DGCL</w:t>
      </w:r>
      <w:r>
        <w:rPr>
          <w:rFonts w:ascii="Times New Roman" w:hAnsi="Times New Roman"/>
          <w:color w:val="000000"/>
          <w:sz w:val="22"/>
        </w:rPr>
        <w:t>”), at a meeting duly called and held on October 22, 2026, which resolution provides for the creation of a series of the Corporation’s preferred stock, par value $0.00001 per share, which is designated as “Series D Non-Voting Convertible Preferred Stock,” with the preferences, rights and limitations set forth therein relating to dividends, conversion, redemption, dissolution and distribution of assets of the Corporation.</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the Amended and Restated Certificate of Incorporation of the Corporation, as amended (the “</w:t>
      </w:r>
      <w:r>
        <w:rPr>
          <w:rFonts w:ascii="Times New Roman" w:hAnsi="Times New Roman"/>
          <w:b/>
          <w:i/>
          <w:color w:val="000000"/>
          <w:sz w:val="22"/>
        </w:rPr>
        <w:t>Certificate of Incorporation</w:t>
      </w:r>
      <w:r>
        <w:rPr>
          <w:rFonts w:ascii="Times New Roman" w:hAnsi="Times New Roman"/>
          <w:color w:val="000000"/>
          <w:sz w:val="22"/>
        </w:rPr>
        <w:t>”), provides for a class of its authorized stock known as Preferred Stock, consisting of 10,000,000 shares, $0.00001 par value per share (the “</w:t>
      </w:r>
      <w:r>
        <w:rPr>
          <w:rFonts w:ascii="Times New Roman" w:hAnsi="Times New Roman"/>
          <w:b/>
          <w:i/>
          <w:color w:val="000000"/>
          <w:sz w:val="22"/>
        </w:rPr>
        <w:t>Preferred Stock</w:t>
      </w:r>
      <w:r>
        <w:rPr>
          <w:rFonts w:ascii="Times New Roman" w:hAnsi="Times New Roman"/>
          <w:color w:val="000000"/>
          <w:sz w:val="22"/>
        </w:rPr>
        <w:t>”), issuable from time to time in one or more series.</w:t>
      </w:r>
    </w:p>
    <w:p>
      <w:pPr>
        <w:pStyle w:val="TextBody"/>
        <w:bidi w:val="0"/>
        <w:spacing w:before="0" w:after="240"/>
        <w:jc w:val="both"/>
        <w:rPr>
          <w:rFonts w:ascii="Times New Roman" w:hAnsi="Times New Roman"/>
          <w:sz w:val="22"/>
        </w:rPr>
      </w:pPr>
      <w:r>
        <w:rPr>
          <w:rFonts w:ascii="Times New Roman" w:hAnsi="Times New Roman"/>
          <w:b/>
          <w:color w:val="000000"/>
          <w:sz w:val="22"/>
        </w:rPr>
        <w:t>RESOLVED</w:t>
      </w:r>
      <w:r>
        <w:rPr>
          <w:rFonts w:ascii="Times New Roman" w:hAnsi="Times New Roman"/>
          <w:color w:val="000000"/>
          <w:sz w:val="22"/>
        </w:rPr>
        <w:t>: that, pursuant to authority conferred upon the Board of Directors by the Certificate of Incorporation, (i) a new series of Preferred Stock of the Corporation be, and hereby is authorized by the Board of Directors, (ii) the Board of Directors hereby authorizes the issuance of 30,356.240 shares of “Series D Non-Voting Convertible Preferred Stock” pursuant to the terms of (A) the Agreement and Plan of Merger, dated on or around the date hereof, by and among the Corporation, Prince Merger Sub I, Inc., a Delaware corporation and wholly owned subsidiary of the Corporation, Prince Merger Sub II, LLC, a Delaware limited liability company and a wholly owned subsidiary of the Corporation, and Prana Therapies, Inc., a Delaware corporation (the “</w:t>
      </w:r>
      <w:r>
        <w:rPr>
          <w:rFonts w:ascii="Times New Roman" w:hAnsi="Times New Roman"/>
          <w:b/>
          <w:i/>
          <w:color w:val="000000"/>
          <w:sz w:val="22"/>
        </w:rPr>
        <w:t>Merger Agreement</w:t>
      </w:r>
      <w:r>
        <w:rPr>
          <w:rFonts w:ascii="Times New Roman" w:hAnsi="Times New Roman"/>
          <w:color w:val="000000"/>
          <w:sz w:val="22"/>
        </w:rPr>
        <w:t>”), and (B) the Securities Purchase Agreement, dated on or around the date hereof, by and among the Corporation and the initial Holders (as defined below) (the “</w:t>
      </w:r>
      <w:r>
        <w:rPr>
          <w:rFonts w:ascii="Times New Roman" w:hAnsi="Times New Roman"/>
          <w:b/>
          <w:i/>
          <w:color w:val="000000"/>
          <w:sz w:val="22"/>
        </w:rPr>
        <w:t>Securities Purchase Agreement</w:t>
      </w:r>
      <w:r>
        <w:rPr>
          <w:rFonts w:ascii="Times New Roman" w:hAnsi="Times New Roman"/>
          <w:color w:val="000000"/>
          <w:sz w:val="22"/>
        </w:rPr>
        <w:t>”), and (iii)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pStyle w:val="TextBody"/>
        <w:bidi w:val="0"/>
        <w:spacing w:before="0" w:after="240"/>
        <w:jc w:val="center"/>
        <w:rPr>
          <w:rFonts w:ascii="Times New Roman" w:hAnsi="Times New Roman"/>
          <w:sz w:val="22"/>
        </w:rPr>
      </w:pPr>
      <w:r>
        <w:rPr>
          <w:rFonts w:ascii="Times New Roman" w:hAnsi="Times New Roman"/>
          <w:b/>
          <w:color w:val="000000"/>
          <w:sz w:val="22"/>
        </w:rPr>
        <w:t>TERMS OF SERIES D NON-VOTING CONVERTIBLE PREFERRED STOCK</w:t>
      </w:r>
      <w:r>
        <w:rPr>
          <w:rFonts w:ascii="Times New Roman" w:hAnsi="Times New Roman"/>
          <w:color w:val="000000"/>
          <w:sz w:val="22"/>
        </w:rPr>
        <w:t xml:space="preserve"> </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Definitions</w:t>
      </w:r>
      <w:r>
        <w:rPr>
          <w:rFonts w:ascii="Times New Roman" w:hAnsi="Times New Roman"/>
          <w:color w:val="000000"/>
          <w:sz w:val="22"/>
        </w:rPr>
        <w:t>. For purposes hereof, the following terms shall have the following meanings:</w:t>
      </w:r>
    </w:p>
    <w:p>
      <w:pPr>
        <w:pStyle w:val="TextBody"/>
        <w:bidi w:val="0"/>
        <w:spacing w:before="0" w:after="240"/>
        <w:jc w:val="both"/>
        <w:rPr/>
      </w:pPr>
      <w:r>
        <w:rPr>
          <w:color w:val="000000"/>
        </w:rPr>
        <w:t>“</w:t>
      </w:r>
      <w:r>
        <w:rPr>
          <w:rFonts w:ascii="Times New Roman" w:hAnsi="Times New Roman"/>
          <w:b/>
          <w:i/>
          <w:color w:val="000000"/>
          <w:sz w:val="22"/>
        </w:rPr>
        <w:t>Affiliate</w:t>
      </w:r>
      <w:r>
        <w:rPr>
          <w:rFonts w:ascii="Times New Roman" w:hAnsi="Times New Roman"/>
          <w:color w:val="000000"/>
          <w:sz w:val="22"/>
        </w:rPr>
        <w:t>” means any Person that, directly or indirectly through one or more intermediaries, controls or is controlled by or is under common control with a Person, as such terms are used in and construed under Rule 405 of the Securities Act of 1933, as amended.</w:t>
      </w:r>
    </w:p>
    <w:p>
      <w:pPr>
        <w:pStyle w:val="TextBody"/>
        <w:bidi w:val="0"/>
        <w:spacing w:before="0" w:after="240"/>
        <w:jc w:val="both"/>
        <w:rPr/>
      </w:pPr>
      <w:r>
        <w:rPr>
          <w:color w:val="000000"/>
        </w:rPr>
        <w:t>“</w:t>
      </w:r>
      <w:r>
        <w:rPr>
          <w:rFonts w:ascii="Times New Roman" w:hAnsi="Times New Roman"/>
          <w:b/>
          <w:i/>
          <w:color w:val="000000"/>
          <w:sz w:val="22"/>
        </w:rPr>
        <w:t>Attribution Parties</w:t>
      </w:r>
      <w:r>
        <w:rPr>
          <w:rFonts w:ascii="Times New Roman" w:hAnsi="Times New Roman"/>
          <w:color w:val="000000"/>
          <w:sz w:val="22"/>
        </w:rPr>
        <w:t xml:space="preserve">” means, with respect to each Holder, its Affiliates and any other Person whose beneficial ownership of Common Stock would be aggregated with such Holder’s for purposes of Section 13(d) of the Exchange Act, including shares held by any “group” of which such Holder is a member; provided, for the avoidance of doubt, that for purposes of </w:t>
      </w:r>
      <w:r>
        <w:rPr>
          <w:rFonts w:ascii="Times New Roman" w:hAnsi="Times New Roman"/>
          <w:color w:val="000000"/>
          <w:sz w:val="22"/>
          <w:u w:val="single"/>
        </w:rPr>
        <w:t>Section 6.1</w:t>
      </w:r>
      <w:r>
        <w:rPr>
          <w:rFonts w:ascii="Times New Roman" w:hAnsi="Times New Roman"/>
          <w:color w:val="000000"/>
          <w:sz w:val="22"/>
        </w:rPr>
        <w:t xml:space="preserve"> (including any Beneficial Ownership Statement delivered in accordance therewith) any group that may be formed solely by reason of a Parent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Stockholder Support Agreement (as defined in the Merger Agreement) or other agreement or arrangement that will terminate upon the Corporation’s receipt of the Stockholder Approval (as defined below) shall be disregarded. </w:t>
      </w:r>
    </w:p>
    <w:p>
      <w:pPr>
        <w:pStyle w:val="TextBody"/>
        <w:bidi w:val="0"/>
        <w:spacing w:before="0" w:after="240"/>
        <w:jc w:val="both"/>
        <w:rPr/>
      </w:pPr>
      <w:r>
        <w:rPr>
          <w:color w:val="000000"/>
        </w:rPr>
        <w:t>“</w:t>
      </w:r>
      <w:r>
        <w:rPr>
          <w:rFonts w:ascii="Times New Roman" w:hAnsi="Times New Roman"/>
          <w:b/>
          <w:i/>
          <w:color w:val="000000"/>
          <w:sz w:val="22"/>
        </w:rPr>
        <w:t>Bloomberg</w:t>
      </w:r>
      <w:r>
        <w:rPr>
          <w:rFonts w:ascii="Times New Roman" w:hAnsi="Times New Roman"/>
          <w:color w:val="000000"/>
          <w:sz w:val="22"/>
        </w:rPr>
        <w:t>” means the reporting service provided by Bloomberg L.P. or its subsidiaries or an equivalent, reliable reporting service mutually acceptable to and hereafter designated by the Required Holders (as defined below) and the Corporation.</w:t>
      </w:r>
    </w:p>
    <w:p>
      <w:pPr>
        <w:pStyle w:val="TextBody"/>
        <w:bidi w:val="0"/>
        <w:spacing w:before="0" w:after="240"/>
        <w:jc w:val="both"/>
        <w:rPr/>
      </w:pPr>
      <w:r>
        <w:rPr>
          <w:color w:val="000000"/>
        </w:rPr>
        <w:t>“</w:t>
      </w:r>
      <w:r>
        <w:rPr>
          <w:rFonts w:ascii="Times New Roman" w:hAnsi="Times New Roman"/>
          <w:b/>
          <w:i/>
          <w:color w:val="000000"/>
          <w:sz w:val="22"/>
        </w:rPr>
        <w:t>Business Day</w:t>
      </w:r>
      <w:r>
        <w:rPr>
          <w:rFonts w:ascii="Times New Roman" w:hAnsi="Times New Roman"/>
          <w:color w:val="000000"/>
          <w:sz w:val="22"/>
        </w:rPr>
        <w:t>” means any day except any Saturday, any Sunday, any day which is a federal legal holiday in the United States or any day on which banking institutions in the State of New York or California are authorized or required by law or other governmental action to close.</w:t>
      </w:r>
    </w:p>
    <w:p>
      <w:pPr>
        <w:pStyle w:val="TextBody"/>
        <w:bidi w:val="0"/>
        <w:spacing w:before="0" w:after="240"/>
        <w:jc w:val="both"/>
        <w:rPr/>
      </w:pPr>
      <w:r>
        <w:rPr>
          <w:color w:val="000000"/>
        </w:rPr>
        <w:t>“</w:t>
      </w:r>
      <w:r>
        <w:rPr>
          <w:rFonts w:ascii="Times New Roman" w:hAnsi="Times New Roman"/>
          <w:b/>
          <w:i/>
          <w:color w:val="000000"/>
          <w:sz w:val="22"/>
        </w:rPr>
        <w:t>Buy-In</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6.5.4</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i/>
          <w:color w:val="000000"/>
          <w:sz w:val="22"/>
        </w:rPr>
        <w:t>Closing Sale Price</w:t>
      </w:r>
      <w:r>
        <w:rPr>
          <w:rFonts w:ascii="Times New Roman" w:hAnsi="Times New Roman"/>
          <w:color w:val="000000"/>
          <w:sz w:val="22"/>
        </w:rPr>
        <w:t>” means, for any security as of any date, the last closing trade price for such security immediately prior to 4:00 p.m., New York City time, on the principal Trading Market where such security is listed or traded, as reported by Bloomberg, or if the foregoing do not apply, the last trade price reported for such security on the OTCQX Market, the OTCQB Market or Pink Open Market of OTC Markets Group (or, in each case, any successor to such market) (collectively, the “</w:t>
      </w:r>
      <w:r>
        <w:rPr>
          <w:rFonts w:ascii="Times New Roman" w:hAnsi="Times New Roman"/>
          <w:b/>
          <w:i/>
          <w:color w:val="000000"/>
          <w:sz w:val="22"/>
        </w:rPr>
        <w:t>OTC Markets</w:t>
      </w:r>
      <w:r>
        <w:rPr>
          <w:rFonts w:ascii="Times New Roman" w:hAnsi="Times New Roman"/>
          <w:color w:val="000000"/>
          <w:sz w:val="22"/>
        </w:rPr>
        <w:t>”), or, if no last trade price is reported for such security by Bloomberg and no last trade price is reported on an OTC Market, the average of the bid prices of any market makers for such security as reported on the OTC Markets.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pStyle w:val="TextBody"/>
        <w:bidi w:val="0"/>
        <w:spacing w:before="0" w:after="240"/>
        <w:jc w:val="both"/>
        <w:rPr/>
      </w:pPr>
      <w:r>
        <w:rPr>
          <w:color w:val="000000"/>
        </w:rPr>
        <w:t>“</w:t>
      </w:r>
      <w:r>
        <w:rPr>
          <w:rFonts w:ascii="Times New Roman" w:hAnsi="Times New Roman"/>
          <w:b/>
          <w:i/>
          <w:color w:val="000000"/>
          <w:sz w:val="22"/>
        </w:rPr>
        <w:t>Commission</w:t>
      </w:r>
      <w:r>
        <w:rPr>
          <w:rFonts w:ascii="Times New Roman" w:hAnsi="Times New Roman"/>
          <w:color w:val="000000"/>
          <w:sz w:val="22"/>
        </w:rPr>
        <w:t>” means the United States Securities and Exchange Commission.</w:t>
      </w:r>
    </w:p>
    <w:p>
      <w:pPr>
        <w:pStyle w:val="TextBody"/>
        <w:bidi w:val="0"/>
        <w:spacing w:before="0" w:after="240"/>
        <w:jc w:val="both"/>
        <w:rPr/>
      </w:pPr>
      <w:r>
        <w:rPr>
          <w:color w:val="000000"/>
        </w:rPr>
        <w:t>“</w:t>
      </w:r>
      <w:r>
        <w:rPr>
          <w:rFonts w:ascii="Times New Roman" w:hAnsi="Times New Roman"/>
          <w:b/>
          <w:i/>
          <w:color w:val="000000"/>
          <w:sz w:val="22"/>
        </w:rPr>
        <w:t>Common Stock</w:t>
      </w:r>
      <w:r>
        <w:rPr>
          <w:rFonts w:ascii="Times New Roman" w:hAnsi="Times New Roman"/>
          <w:color w:val="000000"/>
          <w:sz w:val="22"/>
        </w:rPr>
        <w:t>” means the Corporation’s common stock, par value $0.00001 per share, and stock of any other class of securities into which such securities may hereafter be reclassified or changed.</w:t>
      </w:r>
    </w:p>
    <w:p>
      <w:pPr>
        <w:pStyle w:val="TextBody"/>
        <w:bidi w:val="0"/>
        <w:spacing w:before="0" w:after="240"/>
        <w:jc w:val="both"/>
        <w:rPr/>
      </w:pPr>
      <w:r>
        <w:rPr>
          <w:color w:val="000000"/>
        </w:rPr>
        <w:t>“</w:t>
      </w:r>
      <w:r>
        <w:rPr>
          <w:rFonts w:ascii="Times New Roman" w:hAnsi="Times New Roman"/>
          <w:b/>
          <w:i/>
          <w:color w:val="000000"/>
          <w:sz w:val="22"/>
        </w:rPr>
        <w:t>Conversion Shares</w:t>
      </w:r>
      <w:r>
        <w:rPr>
          <w:rFonts w:ascii="Times New Roman" w:hAnsi="Times New Roman"/>
          <w:color w:val="000000"/>
          <w:sz w:val="22"/>
        </w:rPr>
        <w:t>” means, collectively, the shares of Common Stock issuable upon conversion of the shares of Series D Non-Voting Preferred Stock in accordance with the terms hereof.</w:t>
      </w:r>
    </w:p>
    <w:p>
      <w:pPr>
        <w:pStyle w:val="TextBody"/>
        <w:bidi w:val="0"/>
        <w:spacing w:before="0" w:after="240"/>
        <w:jc w:val="both"/>
        <w:rPr/>
      </w:pPr>
      <w:r>
        <w:rPr>
          <w:color w:val="000000"/>
        </w:rPr>
        <w:t>“</w:t>
      </w:r>
      <w:r>
        <w:rPr>
          <w:rFonts w:ascii="Times New Roman" w:hAnsi="Times New Roman"/>
          <w:b/>
          <w:i/>
          <w:color w:val="000000"/>
          <w:sz w:val="22"/>
        </w:rPr>
        <w:t>Exchange Act</w:t>
      </w:r>
      <w:r>
        <w:rPr>
          <w:rFonts w:ascii="Times New Roman" w:hAnsi="Times New Roman"/>
          <w:color w:val="000000"/>
          <w:sz w:val="22"/>
        </w:rPr>
        <w:t>” means the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2"/>
        </w:rPr>
        <w:t>Governmental Body</w:t>
      </w:r>
      <w:r>
        <w:rPr>
          <w:rFonts w:ascii="Times New Roman" w:hAnsi="Times New Roman"/>
          <w:color w:val="000000"/>
          <w:sz w:val="22"/>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240"/>
        <w:jc w:val="both"/>
        <w:rPr/>
      </w:pPr>
      <w:r>
        <w:rPr>
          <w:color w:val="000000"/>
        </w:rPr>
        <w:t>“</w:t>
      </w:r>
      <w:r>
        <w:rPr>
          <w:rFonts w:ascii="Times New Roman" w:hAnsi="Times New Roman"/>
          <w:b/>
          <w:i/>
          <w:color w:val="000000"/>
          <w:sz w:val="22"/>
        </w:rPr>
        <w:t>Holder</w:t>
      </w:r>
      <w:r>
        <w:rPr>
          <w:rFonts w:ascii="Times New Roman" w:hAnsi="Times New Roman"/>
          <w:color w:val="000000"/>
          <w:sz w:val="22"/>
        </w:rPr>
        <w:t>” means a holder of shares of Series D Non-Voting Preferred Stock.</w:t>
      </w:r>
    </w:p>
    <w:p>
      <w:pPr>
        <w:pStyle w:val="TextBody"/>
        <w:bidi w:val="0"/>
        <w:spacing w:before="0" w:after="240"/>
        <w:jc w:val="both"/>
        <w:rPr/>
      </w:pPr>
      <w:r>
        <w:rPr>
          <w:color w:val="000000"/>
        </w:rPr>
        <w:t>“</w:t>
      </w:r>
      <w:r>
        <w:rPr>
          <w:rFonts w:ascii="Times New Roman" w:hAnsi="Times New Roman"/>
          <w:b/>
          <w:i/>
          <w:color w:val="000000"/>
          <w:sz w:val="22"/>
        </w:rPr>
        <w:t>Nasdaq</w:t>
      </w:r>
      <w:r>
        <w:rPr>
          <w:rFonts w:ascii="Times New Roman" w:hAnsi="Times New Roman"/>
          <w:color w:val="000000"/>
          <w:sz w:val="22"/>
        </w:rPr>
        <w:t>” means The Nasdaq Stock Market LLC.</w:t>
      </w:r>
    </w:p>
    <w:p>
      <w:pPr>
        <w:pStyle w:val="TextBody"/>
        <w:bidi w:val="0"/>
        <w:spacing w:before="0" w:after="240"/>
        <w:jc w:val="both"/>
        <w:rPr/>
      </w:pPr>
      <w:r>
        <w:rPr>
          <w:color w:val="000000"/>
        </w:rPr>
        <w:t>“</w:t>
      </w:r>
      <w:r>
        <w:rPr>
          <w:rFonts w:ascii="Times New Roman" w:hAnsi="Times New Roman"/>
          <w:b/>
          <w:i/>
          <w:color w:val="000000"/>
          <w:sz w:val="22"/>
        </w:rPr>
        <w:t>Person</w:t>
      </w:r>
      <w:r>
        <w:rPr>
          <w:rFonts w:ascii="Times New Roman" w:hAnsi="Times New Roman"/>
          <w:color w:val="000000"/>
          <w:sz w:val="22"/>
        </w:rPr>
        <w:t xml:space="preserve">” means any individual, corporation (including any non-profit corporation), partnership (including any general partnership, limited partnership or limited liability partnership), joint venture, estate, trust, company (including any company limited by shares, limited liability company or joint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stock company), firm, society or other enterprise, association, organization or entity, or Governmental Body.</w:t>
      </w:r>
    </w:p>
    <w:p>
      <w:pPr>
        <w:pStyle w:val="TextBody"/>
        <w:bidi w:val="0"/>
        <w:spacing w:before="0" w:after="240"/>
        <w:jc w:val="both"/>
        <w:rPr/>
      </w:pPr>
      <w:r>
        <w:rPr>
          <w:color w:val="000000"/>
        </w:rPr>
        <w:t>“</w:t>
      </w:r>
      <w:r>
        <w:rPr>
          <w:rFonts w:ascii="Times New Roman" w:hAnsi="Times New Roman"/>
          <w:b/>
          <w:i/>
          <w:color w:val="000000"/>
          <w:sz w:val="22"/>
        </w:rPr>
        <w:t>Trading Day</w:t>
      </w:r>
      <w:r>
        <w:rPr>
          <w:rFonts w:ascii="Times New Roman" w:hAnsi="Times New Roman"/>
          <w:color w:val="000000"/>
          <w:sz w:val="22"/>
        </w:rPr>
        <w:t xml:space="preserve">” means a day on which shares of Common Stock are traded for any period on the principal Trading Market for the Common Stock. If the Common Stock is not listed or traded on any Trading Market, the term “Trading Day” shall mean a Business Day. </w:t>
      </w:r>
    </w:p>
    <w:p>
      <w:pPr>
        <w:pStyle w:val="TextBody"/>
        <w:bidi w:val="0"/>
        <w:spacing w:before="0" w:after="240"/>
        <w:jc w:val="both"/>
        <w:rPr/>
      </w:pPr>
      <w:r>
        <w:rPr>
          <w:color w:val="000000"/>
        </w:rPr>
        <w:t>“</w:t>
      </w:r>
      <w:r>
        <w:rPr>
          <w:rFonts w:ascii="Times New Roman" w:hAnsi="Times New Roman"/>
          <w:b/>
          <w:i/>
          <w:color w:val="000000"/>
          <w:sz w:val="22"/>
        </w:rPr>
        <w:t>Trading Market</w:t>
      </w:r>
      <w:r>
        <w:rPr>
          <w:rFonts w:ascii="Times New Roman" w:hAnsi="Times New Roman"/>
          <w:color w:val="000000"/>
          <w:sz w:val="22"/>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Designation, Amount and Par Value</w:t>
      </w:r>
      <w:r>
        <w:rPr>
          <w:rFonts w:ascii="Times New Roman" w:hAnsi="Times New Roman"/>
          <w:color w:val="000000"/>
          <w:sz w:val="22"/>
        </w:rPr>
        <w:t>. The series of Preferred Stock shall be designated as the Corporation’s Series D Non-Voting Convertible Preferred Stock (the “</w:t>
      </w:r>
      <w:r>
        <w:rPr>
          <w:rFonts w:ascii="Times New Roman" w:hAnsi="Times New Roman"/>
          <w:b/>
          <w:i/>
          <w:color w:val="000000"/>
          <w:sz w:val="22"/>
        </w:rPr>
        <w:t>Series D Non-Voting Preferred Stock</w:t>
      </w:r>
      <w:r>
        <w:rPr>
          <w:rFonts w:ascii="Times New Roman" w:hAnsi="Times New Roman"/>
          <w:color w:val="000000"/>
          <w:sz w:val="22"/>
        </w:rPr>
        <w:t>”) and the number of shares so designated shall be 30,356.240. Each share of Series D Non-Voting Preferred Stock shall have a par value of $0.00001 per share.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Dividends</w:t>
      </w:r>
      <w:r>
        <w:rPr>
          <w:rFonts w:ascii="Times New Roman" w:hAnsi="Times New Roman"/>
          <w:color w:val="000000"/>
          <w:sz w:val="22"/>
        </w:rPr>
        <w:t>. Holders shall be entitled to receive, and the Corporation shall pay, dividends on shares of the Series D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D Non-Voting Preferred Stock, and the Corporation shall pay no dividends (other than dividends payable in the form of Common Stock) on shares of the Common Stock unless it simultaneously complies with the previous sentence.</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Voting Rights</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4.1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as otherwise provided herein or as otherwise required by the DGCL, the Series D Non-Voting Preferred Stock shall have no voting rights. However, as long as any shares of Series D Non-Voting Preferred Stock are outstanding, the Corporation shall not, without the affirmative vote of the holders of a majority of the then outstanding shares of the Series D Non-Voting Preferred Stock: (i) alter or change adversely the powers, preferences or rights given to the Series D Non-Voting Preferred Stock or alter or amend this Certificate of Designation, amend or repeal any provision of, or add any provision to, the Certificate of Incorporation or Amended and Restated Bylaws of the Corporation, or file any certificate of amendment, certificate of designations, preferences, limitations and relative rights of any series of Preferred Stock, in each case, if such action would adversely alter or change the preferences, rights, privileges or powers of, or restrictions provided for the benefit of the Series D Non-Voting Preferred Stock, regardless of whether any of the foregoing actions shall be by means of amendment to the Certificate of Incorporation or by merger, consolidation, recapitalization, reclassification, conversion or otherwise, (ii) increase or decrease (other than as a result of conversion, cancellation or retirement in accordance with this Certificate of Designation) the number of authorized shares of Series D Non-Voting Preferred Stock, (iii) prior to the Automatic Conversion (as defined below), consummate either: (A) any Fundamental Transaction (as defined below) or (B) any merger or consolidation of the Corporation with or into another Person or any stock sale to, or other business combination (including, without limitation, a reorganization, recapitalization, spin-off, share exchange or scheme of arrangement) with or into, another Person in which the stockholders of the Corporation immediately before such transaction do not hold at least a majority of the voting power of the capital stock of the Corporation or surviving corporation or the parent entity of the Corporation or surviving corporation immediately after such transaction or in which the Corporation or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surviving corporation issues securities in such transaction that represent, or are convertible into securities representing, more than a majority of the voting power of the Corporation immediately before such transaction (a “</w:t>
      </w:r>
      <w:r>
        <w:rPr>
          <w:rFonts w:ascii="Times New Roman" w:hAnsi="Times New Roman"/>
          <w:b/>
          <w:i/>
          <w:color w:val="000000"/>
          <w:sz w:val="22"/>
        </w:rPr>
        <w:t>Change of Control Transaction</w:t>
      </w:r>
      <w:r>
        <w:rPr>
          <w:rFonts w:ascii="Times New Roman" w:hAnsi="Times New Roman"/>
          <w:color w:val="000000"/>
          <w:sz w:val="22"/>
        </w:rPr>
        <w:t xml:space="preserve">”), (iv) prior to the Automatic Conversion, authorize or issue any class or series of stock that has powers, preferences or rights that are senior to those of the Series D Non-Voting Preferred Stock, (v) amend, waive or modify the Merger Agreement in any manner that would be reasonably likely to prevent, impede or materially delay the Stockholder Approval or the Automatic Conversion (as defined below) or (vi) enter into any agreement with respect to any of the foregoing. For the avoidance of doubt, no approval under this </w:t>
      </w:r>
      <w:r>
        <w:rPr>
          <w:rFonts w:ascii="Times New Roman" w:hAnsi="Times New Roman"/>
          <w:color w:val="000000"/>
          <w:sz w:val="22"/>
          <w:u w:val="single"/>
        </w:rPr>
        <w:t>Section 4.1</w:t>
      </w:r>
      <w:r>
        <w:rPr>
          <w:rFonts w:ascii="Times New Roman" w:hAnsi="Times New Roman"/>
          <w:color w:val="000000"/>
          <w:sz w:val="22"/>
        </w:rPr>
        <w:t xml:space="preserve">shall be required in connection with the consummation of the transactions contemplated by the Securities Purchase Agreement or the Merger Agreement, including the issuance of shares of Series D Non-Voting Preferred Stock thereunder. Holders of shares of Common Stock acquired upon the conversion of shares of Series D Non-Voting Preferred Stock shall be entitled to the same voting rights as each other holder of Common Stock, except that such holders may not vote such shares upon the proposal for Preferred Stock Conversion Proposal and, as applicable, the Nasdaq Proposals in accordance with Rule 5635 of the listing rules of Nasdaq.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4.2</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vote required or permitted under </w:t>
      </w:r>
      <w:r>
        <w:rPr>
          <w:rFonts w:ascii="Times New Roman" w:hAnsi="Times New Roman"/>
          <w:color w:val="000000"/>
          <w:sz w:val="22"/>
          <w:u w:val="single"/>
        </w:rPr>
        <w:t>Section 4.1</w:t>
      </w:r>
      <w:r>
        <w:rPr>
          <w:rFonts w:ascii="Times New Roman" w:hAnsi="Times New Roman"/>
          <w:color w:val="000000"/>
          <w:sz w:val="22"/>
        </w:rPr>
        <w:t xml:space="preserve"> may be taken at a meeting of the Holders or through the execution of an action by written consent in lieu of such meeting, provided that the consent is executed by Holders representing a majority of the then-outstanding shares of Series D Non-Voting Preferred Stock.</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Rank; Liquidation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5.1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Series D Non-Voting Preferred Stock shall rank on parity with the Common Stock as to dividends or distributions of assets upon liquidation, dissolution or winding up of the Corporation, whether voluntarily or involuntarily.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5.2</w:t>
      </w:r>
    </w:p>
    <w:p>
      <w:pPr>
        <w:pStyle w:val="TextBody"/>
        <w:bidi w:val="0"/>
        <w:spacing w:before="0" w:after="240"/>
        <w:jc w:val="both"/>
        <w:rPr>
          <w:rFonts w:ascii="Times New Roman" w:hAnsi="Times New Roman"/>
          <w:sz w:val="22"/>
        </w:rPr>
      </w:pPr>
      <w:r>
        <w:rPr>
          <w:rFonts w:ascii="Times New Roman" w:hAnsi="Times New Roman"/>
          <w:color w:val="000000"/>
          <w:sz w:val="22"/>
        </w:rPr>
        <w:t>Upon any liquidation, dissolution or winding-up of the Corporation, whether voluntary or involuntary (a “</w:t>
      </w:r>
      <w:r>
        <w:rPr>
          <w:rFonts w:ascii="Times New Roman" w:hAnsi="Times New Roman"/>
          <w:b/>
          <w:i/>
          <w:color w:val="000000"/>
          <w:sz w:val="22"/>
        </w:rPr>
        <w:t>Liquidation</w:t>
      </w:r>
      <w:r>
        <w:rPr>
          <w:rFonts w:ascii="Times New Roman" w:hAnsi="Times New Roman"/>
          <w:color w:val="000000"/>
          <w:sz w:val="22"/>
        </w:rPr>
        <w:t>”), each Holder shall be entitled to receive, out of the assets of the Corporation, whether capital or surplus, the same amount per share that a holder of Common Stock would receive if the Series D Non-Voting Preferred Stock were fully converted (disregarding for such purpose any Beneficial Ownership Limitations) to Common Stock, which amounts shall be paid pari passu with all holders of Common Stock plus an additional amount equal to any dividends declared on but unpaid to such shares. If, upon any such Liquidation, the assets of the Corporation shall be insufficient to pay the amount required under the preceding sentence in full to all Holders, then all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Conversion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Automatic Conversion on Stockholder Approval</w:t>
      </w:r>
      <w:r>
        <w:rPr>
          <w:rFonts w:ascii="Times New Roman" w:hAnsi="Times New Roman"/>
          <w:color w:val="000000"/>
          <w:sz w:val="22"/>
        </w:rPr>
        <w:t>. Effective as of 5:00 p.m. Eastern time on the third (3rd) Business Day after the date that the Corporation obtains the Requisite Stockholder Approval (as defined in the Securities Purchase Agreement) (the “</w:t>
      </w:r>
      <w:r>
        <w:rPr>
          <w:rFonts w:ascii="Times New Roman" w:hAnsi="Times New Roman"/>
          <w:b/>
          <w:i/>
          <w:color w:val="000000"/>
          <w:sz w:val="22"/>
        </w:rPr>
        <w:t>Stockholder Approval</w:t>
      </w:r>
      <w:r>
        <w:rPr>
          <w:rFonts w:ascii="Times New Roman" w:hAnsi="Times New Roman"/>
          <w:color w:val="000000"/>
          <w:sz w:val="22"/>
        </w:rPr>
        <w:t>”), each share of Series D Non-Voting Preferred Stock then outstanding shall automatically convert into a number of shares of Common Stock equal to the Conversion Ratio (as defined below), subject to the Beneficial Ownership Limitation applicable to the Holder thereof (the “</w:t>
      </w:r>
      <w:r>
        <w:rPr>
          <w:rFonts w:ascii="Times New Roman" w:hAnsi="Times New Roman"/>
          <w:b/>
          <w:i/>
          <w:color w:val="000000"/>
          <w:sz w:val="22"/>
        </w:rPr>
        <w:t>Automatic Conversion</w:t>
      </w:r>
      <w:r>
        <w:rPr>
          <w:rFonts w:ascii="Times New Roman" w:hAnsi="Times New Roman"/>
          <w:color w:val="000000"/>
          <w:sz w:val="22"/>
        </w:rPr>
        <w:t xml:space="preserve">”). The Corporation shall inform each Holder of the occurrence of the Stockholder Approval and the effective date of the Automatic Conversion within one (1) Business Day following such Stockholder Approval via the filing with the Commission of a Current Report on Form 8-K publicly disclosing the same. At least fifteen (15) calendar days prior to the date of the Automatic Conversion or, in the case of an Additional Automatic Conversion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(as defined below), at least ten (10) calendar days prior to the date of such Additional Automatic Conversion, the Corporation shall request (a “</w:t>
      </w:r>
      <w:r>
        <w:rPr>
          <w:rFonts w:ascii="Times New Roman" w:hAnsi="Times New Roman"/>
          <w:b/>
          <w:i/>
          <w:color w:val="000000"/>
          <w:sz w:val="22"/>
        </w:rPr>
        <w:t>Beneficial Ownership Request</w:t>
      </w:r>
      <w:r>
        <w:rPr>
          <w:rFonts w:ascii="Times New Roman" w:hAnsi="Times New Roman"/>
          <w:color w:val="000000"/>
          <w:sz w:val="22"/>
        </w:rPr>
        <w:t>”) from each Holder a written notice (which may be provided by email) of the number of shares of Common Stock then beneficially owned by such Holder and any of its Attribution Parties (a “</w:t>
      </w:r>
      <w:r>
        <w:rPr>
          <w:rFonts w:ascii="Times New Roman" w:hAnsi="Times New Roman"/>
          <w:b/>
          <w:i/>
          <w:color w:val="000000"/>
          <w:sz w:val="22"/>
        </w:rPr>
        <w:t>Beneficial Ownership Statement</w:t>
      </w:r>
      <w:r>
        <w:rPr>
          <w:rFonts w:ascii="Times New Roman" w:hAnsi="Times New Roman"/>
          <w:color w:val="000000"/>
          <w:sz w:val="22"/>
        </w:rPr>
        <w:t xml:space="preserve">”). For such purposes, the number of shares beneficially owned by each Holder and its Attribution Parties will be determined in a manner consistent with </w:t>
      </w:r>
      <w:r>
        <w:rPr>
          <w:rFonts w:ascii="Times New Roman" w:hAnsi="Times New Roman"/>
          <w:color w:val="000000"/>
          <w:sz w:val="22"/>
          <w:u w:val="single"/>
        </w:rPr>
        <w:t>Section 6.4</w:t>
      </w:r>
      <w:r>
        <w:rPr>
          <w:rFonts w:ascii="Times New Roman" w:hAnsi="Times New Roman"/>
          <w:color w:val="000000"/>
          <w:sz w:val="22"/>
        </w:rPr>
        <w:t xml:space="preserve"> hereof. In determining the application of the Beneficial Ownership Limitations solely with respect to the Automatic Conversion and any Additional Automatic Conversion, the Corporation shall calculate beneficial ownership for each Holder taking into account the beneficial ownership by such Holder of: (x) the number of shares of Common Stock issuable to such Holder or its Attribution Parties in such Automatic Conversion or such Additional Automatic Conversion (as applicable), plus (y) any additional shares of Common Stock beneficially owned by such Holder or its Attribution Parties as set forth in such Holder’s Beneficial Ownership Statement and assuming the conversion of all shares of Series D Non-Voting Preferred Stock held by all other Holders less the aggregate number of shares of Series D Non-Voting Preferred Stock held by all other Holders that will not convert into shares of Common Stock on account of the application of any Beneficial Ownership Limitations applicable to any such other Holders. If, following the Corporation’s delivery of a Beneficial Ownership Request, a Holder does not provide a Beneficial Ownership Statement at least ten (10) calendar days prior to the date of Stockholder Approval (or, in the case of an Additional Automatic Conversion, within five (5) days following the Corporation’s delivery of such Beneficial Ownership Request), the Corporation shall be entitled to presume such Holder’s beneficial ownership of Common Stock (excluding the Conversion Shares) to be zero. The shares of Series D Non-Voting Preferred Stock that are converted in the Automatic Conversion or any Additional Automatic Conversion are referred to as the “</w:t>
      </w:r>
      <w:r>
        <w:rPr>
          <w:rFonts w:ascii="Times New Roman" w:hAnsi="Times New Roman"/>
          <w:b/>
          <w:i/>
          <w:color w:val="000000"/>
          <w:sz w:val="22"/>
        </w:rPr>
        <w:t>Converted Stock</w:t>
      </w:r>
      <w:r>
        <w:rPr>
          <w:rFonts w:ascii="Times New Roman" w:hAnsi="Times New Roman"/>
          <w:color w:val="000000"/>
          <w:sz w:val="22"/>
        </w:rPr>
        <w:t xml:space="preserve">”. Each delivery of a Beneficial Ownership Statement by a Holder will constitute a representation by such Holder that the information therein is true and correct in all material respects and that such Holder has provided the information contained therein in a manner consistent with this paragraph. The Corporation shall be entitled to rely on the information contained in the Beneficial Ownership Statement delivered by a Holder unless and until such Holder notifies the Corporation, in writing, of any changes to the information contained therein. For the avoidance of doubt, any shares of Series D Non-Voting Preferred Stock that are not automatically converted pursuant to the Automatic Conversion as a result of a Beneficial Ownership Limitation shall remain outstanding until such shares of Series D Non-Voting Preferred Stock are converted pursuant to </w:t>
      </w:r>
      <w:r>
        <w:rPr>
          <w:rFonts w:ascii="Times New Roman" w:hAnsi="Times New Roman"/>
          <w:color w:val="000000"/>
          <w:sz w:val="22"/>
          <w:u w:val="single"/>
        </w:rPr>
        <w:t>Section 6.2</w:t>
      </w:r>
      <w:r>
        <w:rPr>
          <w:rFonts w:ascii="Times New Roman" w:hAnsi="Times New Roman"/>
          <w:color w:val="000000"/>
          <w:sz w:val="22"/>
        </w:rPr>
        <w:t xml:space="preserve"> or pursuant to an Additional Automatic Conversion (as defined below). From time to time following the date of the Automatic Conversion, but in no event more than once in any six (6)-month period, the Corporation may deliver written notice (an “</w:t>
      </w:r>
      <w:r>
        <w:rPr>
          <w:rFonts w:ascii="Times New Roman" w:hAnsi="Times New Roman"/>
          <w:b/>
          <w:i/>
          <w:color w:val="000000"/>
          <w:sz w:val="22"/>
        </w:rPr>
        <w:t>Additional Automatic Conversion Notice</w:t>
      </w:r>
      <w:r>
        <w:rPr>
          <w:rFonts w:ascii="Times New Roman" w:hAnsi="Times New Roman"/>
          <w:color w:val="000000"/>
          <w:sz w:val="22"/>
        </w:rPr>
        <w:t>”) to each holder of record of Series D Non-Voting Preferred Stock that the Corporation is electing to effect additional automatic conversions of the Series D Non-Voting Preferred Stock into Common Stock (“</w:t>
      </w:r>
      <w:r>
        <w:rPr>
          <w:rFonts w:ascii="Times New Roman" w:hAnsi="Times New Roman"/>
          <w:b/>
          <w:i/>
          <w:color w:val="000000"/>
          <w:sz w:val="22"/>
        </w:rPr>
        <w:t>Additional Automatic Conversions</w:t>
      </w:r>
      <w:r>
        <w:rPr>
          <w:rFonts w:ascii="Times New Roman" w:hAnsi="Times New Roman"/>
          <w:color w:val="000000"/>
          <w:sz w:val="22"/>
        </w:rPr>
        <w:t xml:space="preserve">”) pursuant to this </w:t>
      </w:r>
      <w:r>
        <w:rPr>
          <w:rFonts w:ascii="Times New Roman" w:hAnsi="Times New Roman"/>
          <w:color w:val="000000"/>
          <w:sz w:val="22"/>
          <w:u w:val="single"/>
        </w:rPr>
        <w:t>Section 6.1</w:t>
      </w:r>
      <w:r>
        <w:rPr>
          <w:rFonts w:ascii="Times New Roman" w:hAnsi="Times New Roman"/>
          <w:color w:val="000000"/>
          <w:sz w:val="22"/>
        </w:rPr>
        <w:t xml:space="preserve">. Each Additional Automatic Conversion Notice shall include a request that each Holder deliver an updated Beneficial Ownership Statement (and shall constitute a Beneficial Ownership Request), and upon delivery thereof the Corporation and each Holder shall comply with the provisions of this </w:t>
      </w:r>
      <w:r>
        <w:rPr>
          <w:rFonts w:ascii="Times New Roman" w:hAnsi="Times New Roman"/>
          <w:color w:val="000000"/>
          <w:sz w:val="22"/>
          <w:u w:val="single"/>
        </w:rPr>
        <w:t>Section 6.1</w:t>
      </w:r>
      <w:r>
        <w:rPr>
          <w:rFonts w:ascii="Times New Roman" w:hAnsi="Times New Roman"/>
          <w:color w:val="000000"/>
          <w:sz w:val="22"/>
        </w:rPr>
        <w:t xml:space="preserve">applicable to Additional Automatic Conversions. Each Additional Automatic Conversion shall be effective on the date specified by the Corporation in the Additional Automatic Conversion Notice; provided that such date shall be at least ten (10) calendar days after the date of such Additional Automatic Conversion Notice. The Conversion Shares shall be issued as follows: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6.1.1</w:t>
      </w:r>
    </w:p>
    <w:p>
      <w:pPr>
        <w:pStyle w:val="TextBody"/>
        <w:bidi w:val="0"/>
        <w:spacing w:before="0" w:after="240"/>
        <w:jc w:val="both"/>
        <w:rPr>
          <w:rFonts w:ascii="Times New Roman" w:hAnsi="Times New Roman"/>
          <w:sz w:val="22"/>
        </w:rPr>
      </w:pPr>
      <w:r>
        <w:rPr>
          <w:rFonts w:ascii="Times New Roman" w:hAnsi="Times New Roman"/>
          <w:color w:val="000000"/>
          <w:sz w:val="22"/>
        </w:rPr>
        <w:t>Converted Stock that is registered in book entry form shall be automatically cancelled upon the Automatic Conversion or any Additional Automatic Conversion and converted into the corresponding Conversion Shares. Provided (x) the Corporation’s transfer agent is participating in the Depository Trust Company (“</w:t>
      </w:r>
      <w:r>
        <w:rPr>
          <w:rFonts w:ascii="Times New Roman" w:hAnsi="Times New Roman"/>
          <w:b/>
          <w:i/>
          <w:color w:val="000000"/>
          <w:sz w:val="22"/>
        </w:rPr>
        <w:t>DTC</w:t>
      </w:r>
      <w:r>
        <w:rPr>
          <w:rFonts w:ascii="Times New Roman" w:hAnsi="Times New Roman"/>
          <w:color w:val="000000"/>
          <w:sz w:val="22"/>
        </w:rPr>
        <w:t xml:space="preserve">”) Fast Automated Securities Transfer program and (y) the Corporation is obligated to remove any restrictive legend from such Conversion Shares pursuant to Section 5.5 of the Securities Purchase Agreement or Section 4.17 of the Merger Agreement and such Conversion Shares are not otherwise subject to affiliate or lock-up legends, the Holder may elect in 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Beneficial Ownership Statement that such Conversion Shares be delivered by way of a DWAC Delivery, in which case such Conversion Shares shall be delivered by crediting such Conversion Shares to the account of the Holder’s prime broker with DTC through its Deposit/Withdrawal At Custodian system (a “</w:t>
      </w:r>
      <w:r>
        <w:rPr>
          <w:rFonts w:ascii="Times New Roman" w:hAnsi="Times New Roman"/>
          <w:b/>
          <w:i/>
          <w:color w:val="000000"/>
          <w:sz w:val="22"/>
        </w:rPr>
        <w:t>DWAC Delivery</w:t>
      </w:r>
      <w:r>
        <w:rPr>
          <w:rFonts w:ascii="Times New Roman" w:hAnsi="Times New Roman"/>
          <w:color w:val="000000"/>
          <w:sz w:val="22"/>
        </w:rPr>
        <w:t>”) within one (1) Business Day following the effectiveness of the Automatic Conversion or Additional Automatic Conversion, as applicable. If the Holder does not so elect, or is not eligible to elect, a DWAC Delivery, such Conversion Shares shall instead be issued in book entry form to the Holder within one (1) Business Day following the effectiveness of the Automatic Conversion or Additional Automatic Conversion, as applicable, in each case without any action on the part of the Holder.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Converted Stock that is issued in certificated form shall be deemed converted into the corresponding Conversion Shares on the date of Automatic Conversion or Additional Automatic Conversion, as applicable, and the Holder’s rights as a holder of such shares of Converted Stock shall cease and terminate on such date, excepting only the right to receive the Conversion Shares within two (2) Business Days following the effectiveness of the Automatic Conversion or Additional Automatic Conversion, as applicable. Without delaying the delivery of the Conversion Shares, the Holder shall as soon as practicable (and in any event within three (3) Business Days) following the effectiveness of the Automatic Conversion or Additional Automatic Conversion, as applicable, tender to the Corporation (or its designated agent) the stock certificate(s) (duly endorsed) representing such certificated Converted Stock.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6.1.3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cancellation of the Converted Stock upon the Automatic Conversion or any Additional Automatic Conversion, Holders of Converted Stock shall continue to have any remedies provided herein or otherwise available at law or in equity to such Holder because of a failure by the Corporation to comply with the terms of this Certificate of Designation prior to the Automatic Conversion or such Additional Automatic Conversion, as applicable. In all cases, the Holder shall retain all of its rights and remedies for the Corporation’s failure to convert the Converted Stock.</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Conversion at Option of Holder</w:t>
      </w:r>
      <w:r>
        <w:rPr>
          <w:rFonts w:ascii="Times New Roman" w:hAnsi="Times New Roman"/>
          <w:color w:val="000000"/>
          <w:sz w:val="22"/>
        </w:rPr>
        <w:t xml:space="preserve">. Subject to </w:t>
      </w:r>
      <w:r>
        <w:rPr>
          <w:rFonts w:ascii="Times New Roman" w:hAnsi="Times New Roman"/>
          <w:color w:val="000000"/>
          <w:sz w:val="22"/>
          <w:u w:val="single"/>
        </w:rPr>
        <w:t>Section 6.1</w:t>
      </w:r>
      <w:r>
        <w:rPr>
          <w:rFonts w:ascii="Times New Roman" w:hAnsi="Times New Roman"/>
          <w:color w:val="000000"/>
          <w:sz w:val="22"/>
        </w:rPr>
        <w:t xml:space="preserve">, </w:t>
      </w:r>
      <w:r>
        <w:rPr>
          <w:rFonts w:ascii="Times New Roman" w:hAnsi="Times New Roman"/>
          <w:color w:val="000000"/>
          <w:sz w:val="22"/>
          <w:u w:val="single"/>
        </w:rPr>
        <w:t>Section 6.4</w:t>
      </w:r>
      <w:r>
        <w:rPr>
          <w:rFonts w:ascii="Times New Roman" w:hAnsi="Times New Roman"/>
          <w:color w:val="000000"/>
          <w:sz w:val="22"/>
        </w:rPr>
        <w:t xml:space="preserve"> and </w:t>
      </w:r>
      <w:r>
        <w:rPr>
          <w:rFonts w:ascii="Times New Roman" w:hAnsi="Times New Roman"/>
          <w:color w:val="000000"/>
          <w:sz w:val="22"/>
          <w:u w:val="single"/>
        </w:rPr>
        <w:t>Section 6.5.3</w:t>
      </w:r>
      <w:r>
        <w:rPr>
          <w:rFonts w:ascii="Times New Roman" w:hAnsi="Times New Roman"/>
          <w:color w:val="000000"/>
          <w:sz w:val="22"/>
        </w:rPr>
        <w:t xml:space="preserve">, each share of Series D Non-Voting Preferred Stock then outstanding shall be convertible, at any time and from time to time following the earlier of (i) 5:00 p.m. Eastern time on the third (3rd) Business Day after the date that the Stockholder Approval is obtained by the Corporation and (ii) solely for purposes of effecting a cash settlement pursuant to </w:t>
      </w:r>
      <w:r>
        <w:rPr>
          <w:rFonts w:ascii="Times New Roman" w:hAnsi="Times New Roman"/>
          <w:color w:val="000000"/>
          <w:sz w:val="22"/>
          <w:u w:val="single"/>
        </w:rPr>
        <w:t>Section 6.5.3</w:t>
      </w:r>
      <w:r>
        <w:rPr>
          <w:rFonts w:ascii="Times New Roman" w:hAnsi="Times New Roman"/>
          <w:color w:val="000000"/>
          <w:sz w:val="22"/>
        </w:rPr>
        <w:t>, the date that is nine (9) months after the initial issuance date of the Series D Non-Voting Preferred Stock, at the option of the Holder thereof, into a number of shares of Common Stock equal to the Conversion Ratio, subject to the Beneficial Ownership Limitation (each, an “</w:t>
      </w:r>
      <w:r>
        <w:rPr>
          <w:rFonts w:ascii="Times New Roman" w:hAnsi="Times New Roman"/>
          <w:b/>
          <w:i/>
          <w:color w:val="000000"/>
          <w:sz w:val="22"/>
        </w:rPr>
        <w:t>Optional Conversion</w:t>
      </w:r>
      <w:r>
        <w:rPr>
          <w:rFonts w:ascii="Times New Roman" w:hAnsi="Times New Roman"/>
          <w:color w:val="000000"/>
          <w:sz w:val="22"/>
        </w:rPr>
        <w:t xml:space="preserve">”). Holders shall effect Optional Conversions by providing the Corporation with the form of conversion notice attached hereto as </w:t>
      </w:r>
      <w:r>
        <w:rPr>
          <w:rFonts w:ascii="Times New Roman" w:hAnsi="Times New Roman"/>
          <w:b/>
          <w:color w:val="000000"/>
          <w:sz w:val="22"/>
          <w:u w:val="single"/>
        </w:rPr>
        <w:t>Annex A</w:t>
      </w:r>
      <w:r>
        <w:rPr>
          <w:rFonts w:ascii="Times New Roman" w:hAnsi="Times New Roman"/>
          <w:color w:val="000000"/>
          <w:sz w:val="22"/>
        </w:rPr>
        <w:t xml:space="preserve"> (a “</w:t>
      </w:r>
      <w:r>
        <w:rPr>
          <w:rFonts w:ascii="Times New Roman" w:hAnsi="Times New Roman"/>
          <w:b/>
          <w:i/>
          <w:color w:val="000000"/>
          <w:sz w:val="22"/>
        </w:rPr>
        <w:t>Notice of Conversion</w:t>
      </w:r>
      <w:r>
        <w:rPr>
          <w:rFonts w:ascii="Times New Roman" w:hAnsi="Times New Roman"/>
          <w:color w:val="000000"/>
          <w:sz w:val="22"/>
        </w:rPr>
        <w:t xml:space="preserve">”), duly completed and executed by such Holder. Provided (x) the Corporation’s transfer agent is participating in DTC’s Fast Automated Securities Transfer program, (y) the Corporation is obligated to remove any restrictive legend from the Conversion Shares issuable upon such conversion pursuant to Section 5.5 of the Securities Purchase Agreement or Section 4.17 of the Merger Agreement and such Conversion Shares are not otherwise subject to affiliate or lock-up legends and (z) the cash settlement provisions of </w:t>
      </w:r>
      <w:r>
        <w:rPr>
          <w:rFonts w:ascii="Times New Roman" w:hAnsi="Times New Roman"/>
          <w:color w:val="000000"/>
          <w:sz w:val="22"/>
          <w:u w:val="single"/>
        </w:rPr>
        <w:t>Section 6.5.3</w:t>
      </w:r>
      <w:r>
        <w:rPr>
          <w:rFonts w:ascii="Times New Roman" w:hAnsi="Times New Roman"/>
          <w:color w:val="000000"/>
          <w:sz w:val="22"/>
        </w:rPr>
        <w:t xml:space="preserve"> do not apply to such conversion, the Notice of Conversion shall specify, at the Holder’s election, whether the applicable Conversion Shares shall be issued and delivered by (A) a </w:t>
      </w:r>
      <w:r>
        <w:rPr>
          <w:rFonts w:ascii="Times New Roman" w:hAnsi="Times New Roman"/>
          <w:b/>
          <w:i/>
          <w:color w:val="000000"/>
          <w:sz w:val="22"/>
        </w:rPr>
        <w:t>DWAC Delivery</w:t>
      </w:r>
      <w:r>
        <w:rPr>
          <w:rFonts w:ascii="Times New Roman" w:hAnsi="Times New Roman"/>
          <w:color w:val="000000"/>
          <w:sz w:val="22"/>
        </w:rPr>
        <w:t>, (B) registering such Conversion Shares in the Holder’s (or its designee’s) name in book-entry form or (C) delivering physical stock certificates representing such Conversion Shares, issued in the name of the Holder (or its designee). The date on which an Optional Conversion shall be deemed effective (the “</w:t>
      </w:r>
      <w:r>
        <w:rPr>
          <w:rFonts w:ascii="Times New Roman" w:hAnsi="Times New Roman"/>
          <w:b/>
          <w:i/>
          <w:color w:val="000000"/>
          <w:sz w:val="22"/>
        </w:rPr>
        <w:t>Conversion Date</w:t>
      </w:r>
      <w:r>
        <w:rPr>
          <w:rFonts w:ascii="Times New Roman" w:hAnsi="Times New Roman"/>
          <w:color w:val="000000"/>
          <w:sz w:val="22"/>
        </w:rPr>
        <w:t xml:space="preserve">”) shall be the Trading Day that the Notice of Conversion, completed and executed, is sent via email to, and received prior to 5:00 p.m. (New York City time) by, the Corporation (with the Conversion Date in respect of any Notice of Conversion received by the Corporation at or after 5:00 p.m. (New York City time) on a Trading Day, or on any day that is not a Trading Day, being the Trading Day immediately succeeding the date of such receipt). The Holder shall not be required to physically surrender any stock certificate to the Corporation until the Holder has converted all of the Series D Non-Voting Preferred Stock represented by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certificate, in which case, the Holder shall surrender its stock certificate to the Corporation for cancellation no later than three (3) Trading Days following the date the final Notice of Conversion is delivered to the Corporation. Execution and delivery of a Notice of Conversion shall have the same effect as cancellation of the original stock certificate and issuance of a new stock certificate evidencing the right to purchase the remaining number of Conversion Shares, if any. The calculations set forth in the Notice of Conversion shall control in the absence of manifest or mathematical error.</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Conversion Ratio</w:t>
      </w:r>
      <w:r>
        <w:rPr>
          <w:rFonts w:ascii="Times New Roman" w:hAnsi="Times New Roman"/>
          <w:color w:val="000000"/>
          <w:sz w:val="22"/>
        </w:rPr>
        <w:t>. The “</w:t>
      </w:r>
      <w:r>
        <w:rPr>
          <w:rFonts w:ascii="Times New Roman" w:hAnsi="Times New Roman"/>
          <w:b/>
          <w:i/>
          <w:color w:val="000000"/>
          <w:sz w:val="22"/>
        </w:rPr>
        <w:t>Conversion Ratio</w:t>
      </w:r>
      <w:r>
        <w:rPr>
          <w:rFonts w:ascii="Times New Roman" w:hAnsi="Times New Roman"/>
          <w:color w:val="000000"/>
          <w:sz w:val="22"/>
        </w:rPr>
        <w:t>” for each share of Series D Non-Voting Preferred Stock shall be 1,000 shares of Common Stock issuable upon the conversion (the “</w:t>
      </w:r>
      <w:r>
        <w:rPr>
          <w:rFonts w:ascii="Times New Roman" w:hAnsi="Times New Roman"/>
          <w:b/>
          <w:i/>
          <w:color w:val="000000"/>
          <w:sz w:val="22"/>
        </w:rPr>
        <w:t>Conversion</w:t>
      </w:r>
      <w:r>
        <w:rPr>
          <w:rFonts w:ascii="Times New Roman" w:hAnsi="Times New Roman"/>
          <w:color w:val="000000"/>
          <w:sz w:val="22"/>
        </w:rPr>
        <w:t>”) of each share of Series D Non-Voting Preferred Stock (corresponding to a ratio of 1,000:1), subject to adjustment as provided herein.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Beneficial Ownership Limitation</w:t>
      </w:r>
      <w:r>
        <w:rPr>
          <w:rFonts w:ascii="Times New Roman" w:hAnsi="Times New Roman"/>
          <w:color w:val="000000"/>
          <w:sz w:val="22"/>
        </w:rPr>
        <w:t xml:space="preserve">. Notwithstanding anything herein to the contrary, the Corporation shall not effect any conversion of any share of Series D Non-Voting Preferred Stock, including pursuant to </w:t>
      </w:r>
      <w:r>
        <w:rPr>
          <w:rFonts w:ascii="Times New Roman" w:hAnsi="Times New Roman"/>
          <w:color w:val="000000"/>
          <w:sz w:val="22"/>
          <w:u w:val="single"/>
        </w:rPr>
        <w:t>Section 6.1</w:t>
      </w:r>
      <w:r>
        <w:rPr>
          <w:rFonts w:ascii="Times New Roman" w:hAnsi="Times New Roman"/>
          <w:color w:val="000000"/>
          <w:sz w:val="22"/>
        </w:rPr>
        <w:t xml:space="preserve">, and a Holder shall not have the right to convert any portion of the Series D Non-Voting Preferred Stock, to the extent that, after giving effect to such attempted conversion, such Holder, together with such Holder’s Attribution Parties, would beneficially own a number of shares of Common Stock in excess of the Beneficial Ownership Limitation. For purposes of the foregoing sentence, the aggregate number of shares of Common Stock beneficially owned by each Holder and its Attribution Parties shall include the number of shares of Common Stock issuable upon conversion of the Series D Non-Voting Preferred Stock subject to the Notice of Conversion, Automatic Conversion or Additional Automatic Conversion, as applicable, with respect to which such determination is being made, but shall exclude the number of shares of Common Stock which are issuable upon (i) conversion of the remaining, unconverted Series D Non-Voting Preferred Stock beneficially owned by such Holder or any of its Attribution Parties, and (ii)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this </w:t>
      </w:r>
      <w:r>
        <w:rPr>
          <w:rFonts w:ascii="Times New Roman" w:hAnsi="Times New Roman"/>
          <w:color w:val="000000"/>
          <w:sz w:val="22"/>
          <w:u w:val="single"/>
        </w:rPr>
        <w:t>Section 6.4</w:t>
      </w:r>
      <w:r>
        <w:rPr>
          <w:rFonts w:ascii="Times New Roman" w:hAnsi="Times New Roman"/>
          <w:color w:val="000000"/>
          <w:sz w:val="22"/>
        </w:rPr>
        <w:t xml:space="preserve"> (and provide for a maximum beneficial ownership percentage that is less than or equal to the Beneficial Ownership Limitation applicable to such Holder). For purposes of this </w:t>
      </w:r>
      <w:r>
        <w:rPr>
          <w:rFonts w:ascii="Times New Roman" w:hAnsi="Times New Roman"/>
          <w:color w:val="000000"/>
          <w:sz w:val="22"/>
          <w:u w:val="single"/>
        </w:rPr>
        <w:t>Section 6.4</w:t>
      </w:r>
      <w:r>
        <w:rPr>
          <w:rFonts w:ascii="Times New Roman" w:hAnsi="Times New Roman"/>
          <w:color w:val="000000"/>
          <w:sz w:val="22"/>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color w:val="000000"/>
          <w:sz w:val="22"/>
          <w:u w:val="single"/>
        </w:rPr>
        <w:t>Section 6.4</w:t>
      </w:r>
      <w:r>
        <w:rPr>
          <w:rFonts w:ascii="Times New Roman" w:hAnsi="Times New Roman"/>
          <w:color w:val="000000"/>
          <w:sz w:val="22"/>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D Non-Voting Preferred Stock, by such Holder or its Attribution Parties since the date as of which such number of outstanding shares of Common Stock was last publicly reported or confirmed to the Holder. The “</w:t>
      </w:r>
      <w:r>
        <w:rPr>
          <w:rFonts w:ascii="Times New Roman" w:hAnsi="Times New Roman"/>
          <w:b/>
          <w:i/>
          <w:color w:val="000000"/>
          <w:sz w:val="22"/>
        </w:rPr>
        <w:t>Beneficial Ownership Limitation</w:t>
      </w:r>
      <w:r>
        <w:rPr>
          <w:rFonts w:ascii="Times New Roman" w:hAnsi="Times New Roman"/>
          <w:color w:val="000000"/>
          <w:sz w:val="22"/>
        </w:rPr>
        <w:t xml:space="preserve">” shall initially be set at the discretion of each Holder to a percentage designated by such Holder on its signature page to the Securities Purchase Agreement or provided by written notice to the Corporation and otherwise between 4.99% and 19.99% of the number of shares of Common Stock outstanding immediately after giving effect to the issuance of shares of Common Stock pursuant to the Automatic Conversion, Additional Automatic Conversion or such Notice of Conversion (as applicable), to the extent permitted pursuant to this </w:t>
      </w:r>
      <w:r>
        <w:rPr>
          <w:rFonts w:ascii="Times New Roman" w:hAnsi="Times New Roman"/>
          <w:color w:val="000000"/>
          <w:sz w:val="22"/>
          <w:u w:val="single"/>
        </w:rPr>
        <w:t>Section 6.4</w:t>
      </w:r>
      <w:r>
        <w:rPr>
          <w:rFonts w:ascii="Times New Roman" w:hAnsi="Times New Roman"/>
          <w:color w:val="000000"/>
          <w:sz w:val="22"/>
        </w:rPr>
        <w:t xml:space="preserve">. If a Holder has not designated its Beneficial Ownership Limitation at the time of issuance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of the Series D Non-Voting Preferred Stock, the Beneficial Ownership Limitation shall initially be set at 9.99%. Each delivery of a Notice of Conversion by a Holder will constitute a representation by such Holder that it has evaluated the limitation set forth in this paragraph and determined that the issuance of the full number of shares of Common Stock requested in such Notice of Conversion is permitted under this paragraph (the “</w:t>
      </w:r>
      <w:r>
        <w:rPr>
          <w:rFonts w:ascii="Times New Roman" w:hAnsi="Times New Roman"/>
          <w:b/>
          <w:i/>
          <w:color w:val="000000"/>
          <w:sz w:val="22"/>
        </w:rPr>
        <w:t>Beneficial Ownership Representation</w:t>
      </w:r>
      <w:r>
        <w:rPr>
          <w:rFonts w:ascii="Times New Roman" w:hAnsi="Times New Roman"/>
          <w:color w:val="000000"/>
          <w:sz w:val="22"/>
        </w:rPr>
        <w:t xml:space="preserve">”). The Corporation shall be entitled to rely on the Beneficial Ownership Representation and any other representations made to it by the Holder in any Notice of Conversion regarding its Beneficial Ownership Limitation. Notwithstanding the foregoing, by written notice to the Corporation (email being sufficient), (1) which will not be effective until the sixty-first (61st) day after such written notice is delivered to the Corporation, the Holder may reset the Beneficial Ownership Limitation percentage to a higher percentage, not to exceed 19.99%, to the extent then applicable, and (2) which will be effective immediately after such notice is delivered to the Corporation, the Holder may reset the Beneficial Ownership Limitation percentage to a lower percentage than was in effect for such Holder prior to such written notice.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color w:val="000000"/>
          <w:sz w:val="22"/>
          <w:u w:val="single"/>
        </w:rPr>
        <w:t>Section 6.4</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Mechanics of Conversion</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6.5.1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Delivery of Certificate or Electronic Issuance</w:t>
      </w:r>
      <w:r>
        <w:rPr>
          <w:rFonts w:ascii="Times New Roman" w:hAnsi="Times New Roman"/>
          <w:color w:val="000000"/>
          <w:sz w:val="22"/>
        </w:rPr>
        <w:t>. Upon any Optional Conversion, not later than two (2) Trading Days after the applicable Conversion Date, or if the Holder requests the Conversion of shares of Series D Non-Voting Preferred Stock represented by physical stock certificate(s), fifteen (15) Trading Days after receipt by the Corporation of the original certificate(s) representing such shares of Series D Non-Voting Preferred Stock being converted, duly endorsed, and the accompanying Notice of Conversion (the “</w:t>
      </w:r>
      <w:r>
        <w:rPr>
          <w:rFonts w:ascii="Times New Roman" w:hAnsi="Times New Roman"/>
          <w:b/>
          <w:i/>
          <w:color w:val="000000"/>
          <w:sz w:val="22"/>
        </w:rPr>
        <w:t>Share Delivery Date</w:t>
      </w:r>
      <w:r>
        <w:rPr>
          <w:rFonts w:ascii="Times New Roman" w:hAnsi="Times New Roman"/>
          <w:color w:val="000000"/>
          <w:sz w:val="22"/>
        </w:rPr>
        <w:t>”), the Corporation shall either: (a) deliver, or cause to be delivered, to the converting Holder a physical certificate or certificates representing the number of Conversion Shares being acquired upon the conversion of shares of Series D Non-Voting Preferred Stock or a statement reflecting the registration of such Conversion Shares in the Holder’s (or its designee’s) name in book-entry form, as applicable, or (b) in the case of a DWAC Delivery (if so requested by the Holder and permitted hereunder), electronically transfer such Conversion Shares by crediting the account of the Holder’s prime broker with DTC through its DWAC system. If in the case of any Notice of Conversion such certificate or certificates or statements, as applicable, for the Conversion Shares are not delivered to or as directed by or, in the case of a DWAC Delivery (to the extent permitted hereunder),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or statements for Conversion Shares or electronic receipt of such shares, as applicable, in which event the Corporation shall promptly return to such Holder any original Series D Non-Voting Preferred Stock certificate delivered to the Corporation and such Holder shall promptly return to the Corporation any Common Stock certificates or otherwise direct the return of any shares of Common Stock delivered to the Holder through the DWAC system or in book-entry notation on the books of the Corporation’s transfer agent, representing the shares of Series D Non-Voting Preferred Stock unsuccessfully tendered for conversion to the Corporation.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6.5.2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Obligation Absolute</w:t>
      </w:r>
      <w:r>
        <w:rPr>
          <w:rFonts w:ascii="Times New Roman" w:hAnsi="Times New Roman"/>
          <w:color w:val="000000"/>
          <w:sz w:val="22"/>
        </w:rPr>
        <w:t xml:space="preserve">. Subject to Sections 6.4 and 6.6 and subject to Holder’s right to rescind a Notice of Conversion pursuant to Section 6.5.1, the Corporation’s obligation to issue and deliver the Conversion Shares (or cash, to the extent provided in Section 6.5.3) upon conversion of Series D Non-Voting Preferred Stock in accordance with the terms hereof is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obligation of the Corporation to such Holder in connection with the issuance of such Conversion Shares. Subject to Sections 6.4 and 6.6 and subject to Holder’s right to rescind a Notice of Conversion pursuant to Section 6.5.1, in the event a Holder shall elect to convert any or all of its Series D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D Non-Voting Preferred Stock of such Holder shall have been sought and obtained by the Corporation, and the Corporation posts a surety bond for the benefit of such Holder in the amount of 150% of the value of the Conversion Shares into which would be converted the Series D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Sections 6.4 and 6.6 and subject to Holder’s right to rescind a Notice of Conversion pursuant to Section 6.5.1, issue Conversion Shares upon a properly noticed conversion.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6.5.3</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u w:val="single"/>
        </w:rPr>
        <w:t>Cash Settlement</w:t>
      </w:r>
      <w:r>
        <w:rPr>
          <w:rFonts w:ascii="Times New Roman" w:hAnsi="Times New Roman"/>
          <w:color w:val="000000"/>
          <w:sz w:val="22"/>
        </w:rPr>
        <w:t xml:space="preserve">. Notwithstanding any contrary provision contained in </w:t>
      </w:r>
      <w:r>
        <w:rPr>
          <w:rFonts w:ascii="Times New Roman" w:hAnsi="Times New Roman"/>
          <w:color w:val="000000"/>
          <w:sz w:val="22"/>
          <w:u w:val="single"/>
        </w:rPr>
        <w:t>Section 6.2</w:t>
      </w:r>
      <w:r>
        <w:rPr>
          <w:rFonts w:ascii="Times New Roman" w:hAnsi="Times New Roman"/>
          <w:color w:val="000000"/>
          <w:sz w:val="22"/>
        </w:rPr>
        <w:t xml:space="preserve">, if, at any time after the date that is nine (9) months after the initial issuance of shares of Series D Non-Voting Preferred Stock, the Corporation fails to deliver or cause to be delivered to such Holder such certificates or statements, or electronically deliver (or cause its transfer agent to electronically deliver) the Conversion Shares pursuant to </w:t>
      </w:r>
      <w:r>
        <w:rPr>
          <w:rFonts w:ascii="Times New Roman" w:hAnsi="Times New Roman"/>
          <w:color w:val="000000"/>
          <w:sz w:val="22"/>
          <w:u w:val="single"/>
        </w:rPr>
        <w:t>Section 6.5.1</w:t>
      </w:r>
      <w:r>
        <w:rPr>
          <w:rFonts w:ascii="Times New Roman" w:hAnsi="Times New Roman"/>
          <w:color w:val="000000"/>
          <w:sz w:val="22"/>
        </w:rPr>
        <w:t xml:space="preserve">on or prior to the Share Delivery Deadline (as defined below) applicable to such Conversion (other than a failure caused by (a) incorrect or incomplete information or documentation provided by the Holder to the Corporation or its transfer agent, (b) the failure of the Holder’s prime broker to timely initiate a DWAC deposit of the Conversion Shares into the Holder’s account or (c) the application of the Beneficial Ownership Limitation), and such Holder delivers a properly completed and executed Notice of Conversion, then, unless such Holder has rescinded the applicable Notice of Conversion pursuant to </w:t>
      </w:r>
      <w:r>
        <w:rPr>
          <w:rFonts w:ascii="Times New Roman" w:hAnsi="Times New Roman"/>
          <w:color w:val="000000"/>
          <w:sz w:val="22"/>
          <w:u w:val="single"/>
        </w:rPr>
        <w:t>Section 6.5.1</w:t>
      </w:r>
      <w:r>
        <w:rPr>
          <w:rFonts w:ascii="Times New Roman" w:hAnsi="Times New Roman"/>
          <w:color w:val="000000"/>
          <w:sz w:val="22"/>
        </w:rPr>
        <w:t>, the Corporation shall, in lieu of delivering the Conversion Shares otherwise issuable upon such Conversion, at the request of such Holder, pay out of funds legally available therefor an amount of cash by wire transfer of immediately available funds to the account designated by such Holder equal to the Fair Value (as defined below) of such undelivered shares, with such payment to be made within two (2) Business Days from the date of request by the Holder, and, upon payment of such amount in full, the Corporation shall have no obligation to deliver the Conversion Shares otherwise issuable pursuant to such Notice of Conversion. Upon the payment in full of such amount the shares of Series D Non-Voting Preferred Stock sought to be converted pursuant to such Notice of Conversion shall be deemed cancelled and shall not be reissued as a share of Series D Non-Voting Preferred Stock (the “</w:t>
      </w:r>
      <w:r>
        <w:rPr>
          <w:rFonts w:ascii="Times New Roman" w:hAnsi="Times New Roman"/>
          <w:b/>
          <w:i/>
          <w:color w:val="000000"/>
          <w:sz w:val="22"/>
        </w:rPr>
        <w:t>Cancellation Date</w:t>
      </w:r>
      <w:r>
        <w:rPr>
          <w:rFonts w:ascii="Times New Roman" w:hAnsi="Times New Roman"/>
          <w:color w:val="000000"/>
          <w:sz w:val="15"/>
        </w:rPr>
        <w:t>”</w:t>
      </w:r>
      <w:r>
        <w:rPr>
          <w:rFonts w:ascii="Times New Roman" w:hAnsi="Times New Roman"/>
          <w:color w:val="000000"/>
          <w:sz w:val="22"/>
        </w:rPr>
        <w:t xml:space="preserve">). For purposes of this </w:t>
      </w:r>
      <w:r>
        <w:rPr>
          <w:rFonts w:ascii="Times New Roman" w:hAnsi="Times New Roman"/>
          <w:color w:val="000000"/>
          <w:sz w:val="22"/>
          <w:u w:val="single"/>
        </w:rPr>
        <w:t>Section 6.5.3</w:t>
      </w:r>
      <w:r>
        <w:rPr>
          <w:rFonts w:ascii="Times New Roman" w:hAnsi="Times New Roman"/>
          <w:color w:val="000000"/>
          <w:sz w:val="22"/>
        </w:rPr>
        <w:t>, the “</w:t>
      </w:r>
      <w:r>
        <w:rPr>
          <w:rFonts w:ascii="Times New Roman" w:hAnsi="Times New Roman"/>
          <w:b/>
          <w:i/>
          <w:color w:val="000000"/>
          <w:sz w:val="22"/>
        </w:rPr>
        <w:t>Fair Value</w:t>
      </w:r>
      <w:r>
        <w:rPr>
          <w:rFonts w:ascii="Times New Roman" w:hAnsi="Times New Roman"/>
          <w:color w:val="000000"/>
          <w:sz w:val="15"/>
        </w:rPr>
        <w:t xml:space="preserve">” </w:t>
      </w:r>
      <w:r>
        <w:rPr>
          <w:rFonts w:ascii="Times New Roman" w:hAnsi="Times New Roman"/>
          <w:color w:val="000000"/>
          <w:sz w:val="22"/>
        </w:rPr>
        <w:t>of shares shall be the average of the Closing Sale Prices for the Common Stock on the ten (10) Trading Days immediately prior to the Conversion Date applicable to the Notice of Conversion in respect of which such cash payment is being made. The “</w:t>
      </w:r>
      <w:r>
        <w:rPr>
          <w:rFonts w:ascii="Times New Roman" w:hAnsi="Times New Roman"/>
          <w:b/>
          <w:i/>
          <w:color w:val="000000"/>
          <w:sz w:val="22"/>
        </w:rPr>
        <w:t>Share Delivery Deadline</w:t>
      </w:r>
      <w:r>
        <w:rPr>
          <w:rFonts w:ascii="Times New Roman" w:hAnsi="Times New Roman"/>
          <w:color w:val="000000"/>
          <w:sz w:val="15"/>
        </w:rPr>
        <w:t xml:space="preserve">” </w:t>
      </w:r>
      <w:r>
        <w:rPr>
          <w:rFonts w:ascii="Times New Roman" w:hAnsi="Times New Roman"/>
          <w:color w:val="000000"/>
          <w:sz w:val="22"/>
        </w:rPr>
        <w:t>shall mean, (i) in the case of a Conversion Notice delivered on or after the (3rd) Business Day after the date that the Corporation obtains the Stockholder Approval, the thirtieth (30</w:t>
      </w:r>
      <w:r>
        <w:rPr>
          <w:rFonts w:ascii="Times New Roman" w:hAnsi="Times New Roman"/>
          <w:color w:val="000000"/>
          <w:sz w:val="15"/>
        </w:rPr>
        <w:t>th</w:t>
      </w:r>
      <w:r>
        <w:rPr>
          <w:rFonts w:ascii="Times New Roman" w:hAnsi="Times New Roman"/>
          <w:color w:val="000000"/>
          <w:sz w:val="22"/>
        </w:rPr>
        <w:t>) day after the Share Delivery Date in respect of such Conversion Notice and (ii) in the case of a Conversion Notice delivered before the (3rd) Business Day after the date that the Corporation obtains the Stockholder Approval, the first (1</w:t>
      </w:r>
      <w:r>
        <w:rPr>
          <w:rFonts w:ascii="Times New Roman" w:hAnsi="Times New Roman"/>
          <w:color w:val="000000"/>
          <w:sz w:val="15"/>
        </w:rPr>
        <w:t>st</w:t>
      </w:r>
      <w:r>
        <w:rPr>
          <w:rFonts w:ascii="Times New Roman" w:hAnsi="Times New Roman"/>
          <w:color w:val="000000"/>
          <w:sz w:val="22"/>
        </w:rPr>
        <w:t>) Trading Day after the Share Delivery Date in respect of such Conversion Notice.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6.5.4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Buy-In on Failure to Timely Deliver Certificates</w:t>
      </w:r>
      <w:r>
        <w:rPr>
          <w:rFonts w:ascii="Times New Roman" w:hAnsi="Times New Roman"/>
          <w:color w:val="000000"/>
          <w:sz w:val="22"/>
        </w:rPr>
        <w:t xml:space="preserve">. If the Corporation fails to deliver to a Holder the applicable certificate or certificates or book-entry statement or to effect a DWAC Delivery, as applicable, by the Share Delivery Date pursuant to </w:t>
      </w:r>
      <w:r>
        <w:rPr>
          <w:rFonts w:ascii="Times New Roman" w:hAnsi="Times New Roman"/>
          <w:color w:val="000000"/>
          <w:sz w:val="22"/>
          <w:u w:val="single"/>
        </w:rPr>
        <w:t>Section 6.5.1</w:t>
      </w:r>
      <w:r>
        <w:rPr>
          <w:rFonts w:ascii="Times New Roman" w:hAnsi="Times New Roman"/>
          <w:color w:val="000000"/>
          <w:sz w:val="22"/>
        </w:rPr>
        <w:t xml:space="preserve"> (other than a failure caused by incorrect or incomplete information provided by Holder to the Corporation or its transfer agent, the failure of the Holder’s prime broker to initiate a DWAC deposit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Shares which such Holder was entitled to receive upon the conversion relating to such Share Delivery Date (a “</w:t>
      </w:r>
      <w:r>
        <w:rPr>
          <w:rFonts w:ascii="Times New Roman" w:hAnsi="Times New Roman"/>
          <w:b/>
          <w:i/>
          <w:color w:val="000000"/>
          <w:sz w:val="22"/>
        </w:rPr>
        <w:t>Buy-In</w:t>
      </w:r>
      <w:r>
        <w:rPr>
          <w:rFonts w:ascii="Times New Roman" w:hAnsi="Times New Roman"/>
          <w:color w:val="000000"/>
          <w:sz w:val="22"/>
        </w:rPr>
        <w:t xml:space="preserve">”), then, to the extent the Corporation has cash legally available therefor, the Corporation shall (i) pay in cash to such Holder (in addition to any other remedies available to or elected by such Holder) the amount by which (x) such Holder’s total purchase price (including any brokerage commissions) for the shares of Common Stock so purchased exceeds (y) the product of (a) the aggregate number of shares of Common Stock that such Holder was entitled to receive from the conversion at issue multiplied by (b) the actual sale price at which the sell order giving rise to such purchase obligation was executed (including any brokerage commissions) and (ii) at the option of such Holder, either reissue (if surrendered) the shares of Series D Non-Voting Preferred Stock equal to the number of shares of Series D Non-Voting Preferred Stock submitted for conversion or deliver to such Holder the number of shares of Common Stock that would have been issued if the Corporation had timely complied with its delivery requirements under </w:t>
      </w:r>
      <w:r>
        <w:rPr>
          <w:rFonts w:ascii="Times New Roman" w:hAnsi="Times New Roman"/>
          <w:color w:val="000000"/>
          <w:sz w:val="22"/>
          <w:u w:val="single"/>
        </w:rPr>
        <w:t>Section 6.5.1</w:t>
      </w:r>
      <w:r>
        <w:rPr>
          <w:rFonts w:ascii="Times New Roman" w:hAnsi="Times New Roman"/>
          <w:color w:val="000000"/>
          <w:sz w:val="22"/>
        </w:rPr>
        <w:t xml:space="preserve">. For example, if a Holder purchases shares of Common Stock having a total purchase price of $11,000 to cover a Buy-In with respect to an attempted conversion of shares of Series D Non-Voting Preferred Stock with respect to which the actual sale price (including any brokerage commissions) giving rise to such purchase obligation was a total of $10,000 under clause (i) of the immediately preceding sentence, the Corporation shall be required to pay such Holder $1,000. The Holder shall provide the Corporation with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D Non-Voting Preferred Stock as required pursuant to the terms hereof or the cash settlement remedy set forth in </w:t>
      </w:r>
      <w:r>
        <w:rPr>
          <w:rFonts w:ascii="Times New Roman" w:hAnsi="Times New Roman"/>
          <w:color w:val="000000"/>
          <w:sz w:val="22"/>
          <w:u w:val="single"/>
        </w:rPr>
        <w:t>Section 6.5.3</w:t>
      </w:r>
      <w:r>
        <w:rPr>
          <w:rFonts w:ascii="Times New Roman" w:hAnsi="Times New Roman"/>
          <w:color w:val="000000"/>
          <w:sz w:val="22"/>
        </w:rPr>
        <w:t xml:space="preserve">; provided, however, that the Holder shall not be entitled to both (A) require the reissuance of the shares of Series D Non-Voting Preferred Stock submitted for conversion for which such conversion was not timely honored and (B) receive the number of shares of Common Stock that would have been issued if the Corporation had timely complied with its delivery requirements under </w:t>
      </w:r>
      <w:r>
        <w:rPr>
          <w:rFonts w:ascii="Times New Roman" w:hAnsi="Times New Roman"/>
          <w:color w:val="000000"/>
          <w:sz w:val="22"/>
          <w:u w:val="single"/>
        </w:rPr>
        <w:t>Section 6.5.1</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6.5.5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Reservation of Shares Issuable Upon Conversion</w:t>
      </w:r>
      <w:r>
        <w:rPr>
          <w:rFonts w:ascii="Times New Roman" w:hAnsi="Times New Roman"/>
          <w:color w:val="000000"/>
          <w:sz w:val="22"/>
        </w:rPr>
        <w:t xml:space="preserve">. The Corporation covenants that at all times it will reserve and keep available out of its authorized and unissued shares of Common Stock for the sole purpose of issuance upon conversion of the Series D Non-Voting Preferred Stock, subject to receipt of the Stockholder Approval, free from preemptive rights or any other actual contingent purchase rights of Persons other than the Holders, not less than such aggregate number of shares of Common Stock as shall be issuable (taking into account the adjustments of </w:t>
      </w:r>
      <w:r>
        <w:rPr>
          <w:rFonts w:ascii="Times New Roman" w:hAnsi="Times New Roman"/>
          <w:color w:val="000000"/>
          <w:sz w:val="22"/>
          <w:u w:val="single"/>
        </w:rPr>
        <w:t>Section 7</w:t>
      </w:r>
      <w:r>
        <w:rPr>
          <w:rFonts w:ascii="Times New Roman" w:hAnsi="Times New Roman"/>
          <w:color w:val="000000"/>
          <w:sz w:val="22"/>
        </w:rPr>
        <w:t>) upon the conversion of all outstanding shares of Series D Non-Voting Preferred Stock. The Corporation covenants that all shares of Common Stock that shall be issuable upon conversion of the Series D Non-Voting Preferred Stock shall, upon issue, be duly authorized, validly issued, fully paid and non-assessable.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6.5.6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Fractional Shares</w:t>
      </w:r>
      <w:r>
        <w:rPr>
          <w:rFonts w:ascii="Times New Roman" w:hAnsi="Times New Roman"/>
          <w:color w:val="000000"/>
          <w:sz w:val="22"/>
        </w:rPr>
        <w:t>. No fractional shares of Common Stock shall be issued upon conversion of the Series D Non-Voting Preferred Stock, no certificates or scrip for any such fractional shares shall be issued and no cash shall be paid for any such fractional shares. Any fractional shares of Common Stock that a Holder of Series D Non-Voting Preferred Stock would otherwise be entitled to receive shall be aggregated with all fractional shares of Common Stock issuable to such Holder and any remaining fractional shares shall be rounded down to the nearest whole share with no additional consideration paid for any fractional shares eliminated due to rounding. Whether or not fractional shares would be issuable upon such conversion shall be determined on the basis of the total number of shares of Series D Non-Voting Preferred Stock the Holder seeks to convert into Common Stock and the aggregate number of shares of Common Stock issuable upon such conversion.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6.5.7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Transfer Taxes</w:t>
      </w:r>
      <w:r>
        <w:rPr>
          <w:rFonts w:ascii="Times New Roman" w:hAnsi="Times New Roman"/>
          <w:color w:val="000000"/>
          <w:sz w:val="22"/>
        </w:rPr>
        <w:t xml:space="preserve">. The issuance of certificates for shares of the Common Stock upon conversion of the Series D Non-Voting Preferred Stock shall be made without charge to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D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6.6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Status as Stockholder</w:t>
      </w:r>
      <w:r>
        <w:rPr>
          <w:rFonts w:ascii="Times New Roman" w:hAnsi="Times New Roman"/>
          <w:color w:val="000000"/>
          <w:sz w:val="22"/>
        </w:rPr>
        <w:t xml:space="preserve">. Upon each Conversion Date, effective date of the Automatic Conversion, the effective date of each Additional Automatic Conversion or Cancellation Date, as applicable, (i) the shares of Series D Non-Voting Preferred Stock being converted shall be deemed converted into (x) shares of Common Stock or (y) the right to receive cash in accordance with </w:t>
      </w:r>
      <w:r>
        <w:rPr>
          <w:rFonts w:ascii="Times New Roman" w:hAnsi="Times New Roman"/>
          <w:color w:val="000000"/>
          <w:sz w:val="22"/>
          <w:u w:val="single"/>
        </w:rPr>
        <w:t>Section 6.5.3</w:t>
      </w:r>
      <w:r>
        <w:rPr>
          <w:rFonts w:ascii="Times New Roman" w:hAnsi="Times New Roman"/>
          <w:color w:val="000000"/>
          <w:sz w:val="22"/>
        </w:rPr>
        <w:t xml:space="preserve">, as applicable, and (ii) the Holder’s rights as a holder of such converted shares of Series D Non-Voting Preferred Stock shall cease and terminate, excepting only the right to receive DWAC Delivery of such shares of Common Stock or certificates or statements for such shares of Common Stock (or, in each case, cash in lieu of such shares in accordance with </w:t>
      </w:r>
      <w:r>
        <w:rPr>
          <w:rFonts w:ascii="Times New Roman" w:hAnsi="Times New Roman"/>
          <w:color w:val="000000"/>
          <w:sz w:val="22"/>
          <w:u w:val="single"/>
        </w:rPr>
        <w:t>Section 6.5.3</w:t>
      </w:r>
      <w:r>
        <w:rPr>
          <w:rFonts w:ascii="Times New Roman" w:hAnsi="Times New Roman"/>
          <w:color w:val="000000"/>
          <w:sz w:val="22"/>
        </w:rPr>
        <w:t>)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D Non-Voting Preferred Stock. In no event shall the Series D Non-Voting Preferred Stock convert into shares of Common Stock prior to the Stockholder Approval.</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Certain Adjustments</w:t>
      </w:r>
      <w:r>
        <w:rPr>
          <w:rFonts w:ascii="Times New Roman" w:hAnsi="Times New Roman"/>
          <w:color w:val="000000"/>
          <w:sz w:val="22"/>
        </w:rPr>
        <w: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7.1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Stock Dividends and Stock Splits</w:t>
      </w:r>
      <w:r>
        <w:rPr>
          <w:rFonts w:ascii="Times New Roman" w:hAnsi="Times New Roman"/>
          <w:color w:val="000000"/>
          <w:sz w:val="22"/>
        </w:rPr>
        <w:t xml:space="preserve">. If the Corporation, at any time while any shares of Series D Non-Voting Preferred Stock are outstanding: (i) pays a stock dividend or otherwise makes a distribution or distributions payable in shares of Common Stock (which, for avoidance of doubt, shall not include any shares of Common Stock issued by the Corporation upon conversion of Series D Non-Voting Preferred Stock) with respect to the then outstanding shares of Common Stock; (ii) subdivides outstanding shares of Common Stock into a larger number of shares; or (iii) combines (including by way of a reverse stock split) outstanding shares of Common Stock into a smaller number of shares, then the Conversion Ratio shall be (a) multiplied by a fraction the numerator of which shall be the number of shares of Common Stock (excluding any treasury shares of the Corporation) outstanding immediately after such event and the denominator of which shall be the number of shares of Common Stock outstanding immediately before such event (excluding any treasury shares of the Corporation) and (b) product thereof shall be rounded down to the nearest whole number. Any adjustment made pursuant to this </w:t>
      </w:r>
      <w:r>
        <w:rPr>
          <w:rFonts w:ascii="Times New Roman" w:hAnsi="Times New Roman"/>
          <w:color w:val="000000"/>
          <w:sz w:val="22"/>
          <w:u w:val="single"/>
        </w:rPr>
        <w:t>Section 7.1</w:t>
      </w:r>
      <w:r>
        <w:rPr>
          <w:rFonts w:ascii="Times New Roman" w:hAnsi="Times New Roman"/>
          <w:color w:val="000000"/>
          <w:sz w:val="22"/>
        </w:rPr>
        <w:t xml:space="preserve"> shall become effective immediately after the record date for the determination of stockholders entitled to receive such dividend or distribution and shall become effective immediately after the effective date in the case of a subdivision or combination. If any such dividend or distribution is declared but does not occur, the Conversion Ratio shall be readjusted, effective as of the date the Corporation announces that such dividend or distribution shall not occur, to the Conversion Ratio that would then be in effect if such dividend or distribution had not been declared.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7.2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Fundamental Transaction</w:t>
      </w:r>
      <w:r>
        <w:rPr>
          <w:rFonts w:ascii="Times New Roman" w:hAnsi="Times New Roman"/>
          <w:color w:val="000000"/>
          <w:sz w:val="22"/>
        </w:rPr>
        <w:t xml:space="preserve">. If, at any time while any shares of the Series D Non-Voting Preferred Stock are outstanding, (i)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(ii) the Corporation effects any sale, lease, transfer or exclusive license of all or substantially all of its assets in one transaction or a series of related transactions, (iii) any tender offer or exchange offer (whether by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Corporation or another Person) is completed pursuant to which more than 50% of the Common Stock not held by the Corporation or such Person is exchanged for or converted into other securities, cash or property, or (iv) the Corporation effects any reclassification of the Common Stock or any compulsory share exchange pursuant (other than as a result of a dividend, subdivision or combination covered by </w:t>
      </w:r>
      <w:r>
        <w:rPr>
          <w:rFonts w:ascii="Times New Roman" w:hAnsi="Times New Roman"/>
          <w:color w:val="000000"/>
          <w:sz w:val="22"/>
          <w:u w:val="single"/>
        </w:rPr>
        <w:t>Section 7.1</w:t>
      </w:r>
      <w:r>
        <w:rPr>
          <w:rFonts w:ascii="Times New Roman" w:hAnsi="Times New Roman"/>
          <w:color w:val="000000"/>
          <w:sz w:val="22"/>
        </w:rPr>
        <w:t>) to which the Common Stock is effectively converted into or exchanged for other securities, cash or property (in any such case, a “</w:t>
      </w:r>
      <w:r>
        <w:rPr>
          <w:rFonts w:ascii="Times New Roman" w:hAnsi="Times New Roman"/>
          <w:b/>
          <w:i/>
          <w:color w:val="000000"/>
          <w:sz w:val="22"/>
        </w:rPr>
        <w:t>Fundamental Transaction</w:t>
      </w:r>
      <w:r>
        <w:rPr>
          <w:rFonts w:ascii="Times New Roman" w:hAnsi="Times New Roman"/>
          <w:color w:val="000000"/>
          <w:sz w:val="22"/>
        </w:rPr>
        <w:t>”), then, upon any subsequent conversion of shares of Series D Non-Voting Preferred Stock the converting Holder shall have the right to receive, in lieu of the right to receive Conversion Shares, for each Conversion Share that would have been issuable upon such conversion immediately prior to the occurrence of such Fundamental Transaction (without regard to any Beneficial Ownership Limitation), the same kind and amount of securities, cash or property as such Holder would have been entitled to receive upon the occurrence of such Fundamental Transaction if such conversion of Series D Non-Voting Preferred Stock had occurred immediately prior to such Fundamental Transaction (the “</w:t>
      </w:r>
      <w:r>
        <w:rPr>
          <w:rFonts w:ascii="Times New Roman" w:hAnsi="Times New Roman"/>
          <w:b/>
          <w:i/>
          <w:color w:val="000000"/>
          <w:sz w:val="22"/>
        </w:rPr>
        <w:t>Alternate Consideration</w:t>
      </w:r>
      <w:r>
        <w:rPr>
          <w:rFonts w:ascii="Times New Roman" w:hAnsi="Times New Roman"/>
          <w:color w:val="000000"/>
          <w:sz w:val="22"/>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each Holder shall be given the same choice as to the Alternate Consideration it receives upon any conversion of Series D Non-Voting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color w:val="000000"/>
          <w:sz w:val="22"/>
          <w:u w:val="single"/>
        </w:rPr>
        <w:t>Section 7.2</w:t>
      </w:r>
      <w:r>
        <w:rPr>
          <w:rFonts w:ascii="Times New Roman" w:hAnsi="Times New Roman"/>
          <w:color w:val="000000"/>
          <w:sz w:val="22"/>
        </w:rPr>
        <w:t xml:space="preserve"> and ensuring that the Series D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twenty (20) calendar days prior to the date on which such Fundamental Transaction is expected to become effective or close.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7.3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Calculations</w:t>
      </w:r>
      <w:r>
        <w:rPr>
          <w:rFonts w:ascii="Times New Roman" w:hAnsi="Times New Roman"/>
          <w:color w:val="000000"/>
          <w:sz w:val="22"/>
        </w:rPr>
        <w:t xml:space="preserve">. All calculations under this </w:t>
      </w:r>
      <w:r>
        <w:rPr>
          <w:rFonts w:ascii="Times New Roman" w:hAnsi="Times New Roman"/>
          <w:color w:val="000000"/>
          <w:sz w:val="22"/>
          <w:u w:val="single"/>
        </w:rPr>
        <w:t>Section 7</w:t>
      </w:r>
      <w:r>
        <w:rPr>
          <w:rFonts w:ascii="Times New Roman" w:hAnsi="Times New Roman"/>
          <w:color w:val="000000"/>
          <w:sz w:val="22"/>
        </w:rPr>
        <w:t xml:space="preserve">shall be made to the nearest cent or the nearest 1/100th of a share, as the case may be. For purposes of this </w:t>
      </w:r>
      <w:r>
        <w:rPr>
          <w:rFonts w:ascii="Times New Roman" w:hAnsi="Times New Roman"/>
          <w:color w:val="000000"/>
          <w:sz w:val="22"/>
          <w:u w:val="single"/>
        </w:rPr>
        <w:t>Section 7</w:t>
      </w:r>
      <w:r>
        <w:rPr>
          <w:rFonts w:ascii="Times New Roman" w:hAnsi="Times New Roman"/>
          <w:color w:val="000000"/>
          <w:sz w:val="22"/>
        </w:rPr>
        <w:t>,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Redemption</w:t>
      </w:r>
      <w:r>
        <w:rPr>
          <w:rFonts w:ascii="Times New Roman" w:hAnsi="Times New Roman"/>
          <w:color w:val="000000"/>
          <w:sz w:val="22"/>
        </w:rPr>
        <w:t xml:space="preserve">. The shares of Series D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hAnsi="Times New Roman"/>
          <w:color w:val="000000"/>
          <w:sz w:val="22"/>
          <w:u w:val="single"/>
        </w:rPr>
        <w:t>Section 6.5.3</w:t>
      </w:r>
      <w:r>
        <w:rPr>
          <w:rFonts w:ascii="Times New Roman" w:hAnsi="Times New Roman"/>
          <w:color w:val="000000"/>
          <w:sz w:val="22"/>
        </w:rPr>
        <w:t>.</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Transfer</w:t>
      </w:r>
      <w:r>
        <w:rPr>
          <w:rFonts w:ascii="Times New Roman" w:hAnsi="Times New Roman"/>
          <w:color w:val="000000"/>
          <w:sz w:val="22"/>
        </w:rPr>
        <w:t xml:space="preserve">. A Holder may transfer any shares of Series D Non-Voting Preferred Stock, together with the accompanying rights set forth herein, held by such Holder without the consent of the Corporation; provided that such transfer is in compliance with applicable securities laws, the terms of any contract between the Holder making such transfer and the Corporation (including the Securities Purchase Agreement, in the case of any Holder of shares of Series D Non-Voting Preferred Stock originally issued pursuant to the Securities Purchase Agreement), the terms of the Merger Agreement, in the case of any Holder of shares of Series D Non-Voting Preferred Stock originally issued pursuant to the Merger Agreement and the terms of any lock-up agreement applicable to such shares of Series D Non-Voting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Preferred Stock. The Corporation shall in good faith (i) do and perform, or cause to be done and performed, all such further acts and things, and (ii) execute and deliver all such other agreements, certificates, instruments and documents, in each case, as any Holder of Series D Non-Voting Preferred Stock may reasonably request in order to carry out the intent and accomplish the purposes of this </w:t>
      </w:r>
      <w:r>
        <w:rPr>
          <w:rFonts w:ascii="Times New Roman" w:hAnsi="Times New Roman"/>
          <w:color w:val="000000"/>
          <w:sz w:val="22"/>
          <w:u w:val="single"/>
        </w:rPr>
        <w:t>Section 9</w:t>
      </w:r>
      <w:r>
        <w:rPr>
          <w:rFonts w:ascii="Times New Roman" w:hAnsi="Times New Roman"/>
          <w:color w:val="000000"/>
          <w:sz w:val="22"/>
        </w:rPr>
        <w:t>. The transferee of any shares of Series D Non-Voting Preferred Stock shall be subject to the Beneficial Ownership Limitation applicable to the transferor as of the time of such transfer.</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10.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Series D Non-Voting Preferred Stock Register</w:t>
      </w:r>
      <w:r>
        <w:rPr>
          <w:rFonts w:ascii="Times New Roman" w:hAnsi="Times New Roman"/>
          <w:color w:val="000000"/>
          <w:sz w:val="22"/>
        </w:rPr>
        <w:t xml:space="preserve">. The Corporation shall maintain or cause its transfer agent to maintain, at the Corporation’s principal executive offices or the offices of such transfer agent (or such other office or agency of the Corporation as the Corporation may designate by notice to the Holders in accordance with </w:t>
      </w:r>
      <w:r>
        <w:rPr>
          <w:rFonts w:ascii="Times New Roman" w:hAnsi="Times New Roman"/>
          <w:color w:val="000000"/>
          <w:sz w:val="22"/>
          <w:u w:val="single"/>
        </w:rPr>
        <w:t>Section 11</w:t>
      </w:r>
      <w:r>
        <w:rPr>
          <w:rFonts w:ascii="Times New Roman" w:hAnsi="Times New Roman"/>
          <w:color w:val="000000"/>
          <w:sz w:val="22"/>
        </w:rPr>
        <w:t>), a register for the Series D Non-Voting Preferred Stock (the “</w:t>
      </w:r>
      <w:r>
        <w:rPr>
          <w:rFonts w:ascii="Times New Roman" w:hAnsi="Times New Roman"/>
          <w:b/>
          <w:i/>
          <w:color w:val="000000"/>
          <w:sz w:val="22"/>
        </w:rPr>
        <w:t>Share Register</w:t>
      </w:r>
      <w:r>
        <w:rPr>
          <w:rFonts w:ascii="Times New Roman" w:hAnsi="Times New Roman"/>
          <w:color w:val="000000"/>
          <w:sz w:val="22"/>
        </w:rPr>
        <w:t>”), in which the Corporation shall record (i) the name, address, and electronic mail address of each holder in whose name the shares of Series D Non-Voting Preferred Stock have been issued and (ii) the name, address, and electronic mail address of each transferee of any shares of Series D Non-Voting Preferred Stock. The Corporation may deem and treat the registered Holder of shares of Series D Non-Voting Preferred Stock as the absolute owner thereof for the purpose of any conversion thereof and for all other purposes. The Corporation shall keep the register open and available at all times during regular business hours for inspection by any holder of Series D Non-Voting Preferred Stock or his, her or its legal representatives.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11.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Notices</w:t>
      </w:r>
      <w:r>
        <w:rPr>
          <w:rFonts w:ascii="Times New Roman" w:hAnsi="Times New Roman"/>
          <w:color w:val="000000"/>
          <w:sz w:val="22"/>
        </w:rPr>
        <w:t>. Any notice or other communication required or permitted by the provisions of this Certificate of Designation to be given to a Holder of shares of Series D Non-Voting Preferred Stock shall be mailed, postage prepaid, to the post office address provided in the Securities Purchase Agreement or last shown on the records of the Corporation (including the Share Register), or given by electronic communication in compliance with the provisions of the DGCL, and shall be deemed sent upon such mailing or electronic transmission.</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12.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Book-Entry; Certificates</w:t>
      </w:r>
      <w:r>
        <w:rPr>
          <w:rFonts w:ascii="Times New Roman" w:hAnsi="Times New Roman"/>
          <w:color w:val="000000"/>
          <w:sz w:val="22"/>
        </w:rPr>
        <w:t>. The Series D Non-Voting Preferred Stock will be issued in book-entry form; provided that, if a Holder requests that such Holder’s shares of Series D Non-Voting Preferred Stock be issued in certificated form, the Corporation will instead issue a stock certificate to such Holder representing such Holder’s shares of Series D Non-Voting Preferred Stock. To the extent that any shares of Series D Non-Voting Preferred Stock are issued in book-entry form, references herein to “certificates” shall instead refer to the book-entry notation relating to such shares.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13.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Waiver</w:t>
      </w:r>
      <w:r>
        <w:rPr>
          <w:rFonts w:ascii="Times New Roman" w:hAnsi="Times New Roman"/>
          <w:color w:val="000000"/>
          <w:sz w:val="22"/>
        </w:rPr>
        <w:t xml:space="preserve">.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except as expressly set forth in this </w:t>
      </w:r>
      <w:r>
        <w:rPr>
          <w:rFonts w:ascii="Times New Roman" w:hAnsi="Times New Roman"/>
          <w:color w:val="000000"/>
          <w:sz w:val="22"/>
          <w:u w:val="single"/>
        </w:rPr>
        <w:t>Section 13</w:t>
      </w:r>
      <w:r>
        <w:rPr>
          <w:rFonts w:ascii="Times New Roman" w:hAnsi="Times New Roman"/>
          <w:color w:val="000000"/>
          <w:sz w:val="22"/>
        </w:rPr>
        <w:t>.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D Non-Voting Preferred Stock granted hereunder may be waived as to all shares of Series D Non-Voting Preferred Stock (and the Holders thereof) upon the written consent of the Holders of a majority of the shares of Series D Non-Voting Preferred Stock then outstanding (the “</w:t>
      </w:r>
      <w:r>
        <w:rPr>
          <w:rFonts w:ascii="Times New Roman" w:hAnsi="Times New Roman"/>
          <w:b/>
          <w:i/>
          <w:color w:val="000000"/>
          <w:sz w:val="22"/>
        </w:rPr>
        <w:t>Required Holders</w:t>
      </w:r>
      <w:r>
        <w:rPr>
          <w:rFonts w:ascii="Times New Roman" w:hAnsi="Times New Roman"/>
          <w:color w:val="000000"/>
          <w:sz w:val="22"/>
        </w:rPr>
        <w:t xml:space="preserve">”); provided, however, that the Beneficial Ownership Limitation applicable to a Holder, and any provisions contained herein that are related to such Beneficial Ownership Limitation, cannot be modified, waived or terminated without the consent of such Holder and in no event shall such modification, waiver or termination have the result of increasing any Beneficial Ownership Limitation in an amount in excess of 19.99%; provided, further, that any proposed waiver that would, by its terms, have a disproportionate and materially adverse effect on the rights,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privileges, duties, obligations or limitations applicable to any Holder(s) (in its (or their) capacity as such) shall require the consent of such Holder(s).</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14.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Severability</w:t>
      </w:r>
      <w:r>
        <w:rPr>
          <w:rFonts w:ascii="Times New Roman" w:hAnsi="Times New Roman"/>
          <w:color w:val="000000"/>
          <w:sz w:val="22"/>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15.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Status of Converted Series D Non-Voting Preferred Stock</w:t>
      </w:r>
      <w:r>
        <w:rPr>
          <w:rFonts w:ascii="Times New Roman" w:hAnsi="Times New Roman"/>
          <w:color w:val="000000"/>
          <w:sz w:val="22"/>
        </w:rPr>
        <w:t xml:space="preserve">. If any shares of Series D Non-Voting Preferred Stock shall be converted, redeemed or otherwise acquired by the Corporation, such shares shall, to the fullest extent permitted by applicable law, be retired and cancelled upon such acquisition, and shall not be reissued as a share of Series D Non-Voting Preferred Stock. Any share of Series D Non-Voting Preferred Stock so acquired or otherwise cancelled in accordance with </w:t>
      </w:r>
      <w:r>
        <w:rPr>
          <w:rFonts w:ascii="Times New Roman" w:hAnsi="Times New Roman"/>
          <w:color w:val="000000"/>
          <w:sz w:val="22"/>
          <w:u w:val="single"/>
        </w:rPr>
        <w:t>Section 6.5.3</w:t>
      </w:r>
      <w:r>
        <w:rPr>
          <w:rFonts w:ascii="Times New Roman" w:hAnsi="Times New Roman"/>
          <w:color w:val="000000"/>
          <w:sz w:val="22"/>
        </w:rPr>
        <w:t xml:space="preserve"> shall, upon its retirement and cancellation, and upon the taking of any action required by applicable law, resume the status of authorized but unissued shares of preferred stock and shall no longer be designated as “Series D Non-Voting Convertible Preferred Stock.”</w:t>
      </w:r>
    </w:p>
    <w:p>
      <w:pPr>
        <w:pStyle w:val="TextBody"/>
        <w:bidi w:val="0"/>
        <w:spacing w:before="0" w:after="240"/>
        <w:jc w:val="both"/>
        <w:rPr>
          <w:rFonts w:ascii="Times New Roman" w:hAnsi="Times New Roman"/>
          <w:caps/>
          <w:color w:val="010000"/>
          <w:sz w:val="22"/>
        </w:rPr>
      </w:pPr>
      <w:r>
        <w:rPr>
          <w:rFonts w:ascii="Times New Roman" w:hAnsi="Times New Roman"/>
          <w:caps/>
          <w:color w:val="010000"/>
          <w:sz w:val="22"/>
        </w:rPr>
        <w:t>16.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Fractional Shares of Series D Non-Voting Preferred Stock</w:t>
      </w:r>
      <w:r>
        <w:rPr>
          <w:rFonts w:ascii="Times New Roman" w:hAnsi="Times New Roman"/>
          <w:color w:val="000000"/>
          <w:sz w:val="22"/>
        </w:rPr>
        <w:t>. Shares of Series D Non-Voting Preferred Stock may be issued in fractions of a share rounded down to the nearest one thousandth of a share that entitle the Holder, in proportion to such Holder’s fractional shares, to exercise voting rights as set forth herein, receive dividends, participate in distributions and have the benefit of all other rights of Holders.</w:t>
      </w:r>
    </w:p>
    <w:p>
      <w:pPr>
        <w:pStyle w:val="TextBody"/>
        <w:bidi w:val="0"/>
        <w:spacing w:before="0" w:after="24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Bolt Biotherapeutics, Inc. has caused this Certificate of Designation of Preferences, Rights and Limitations of Series D Non-Voting Convertible Preferred Stock to be duly executed by its Chief Executive Officer on [●], 2026.</w:t>
      </w:r>
    </w:p>
    <w:tbl>
      <w:tblPr>
        <w:tblW w:w="7684" w:type="dxa"/>
        <w:jc w:val="left"/>
        <w:tblInd w:w="0" w:type="dxa"/>
        <w:tblLayout w:type="fixed"/>
        <w:tblCellMar>
          <w:top w:w="28" w:type="dxa"/>
          <w:left w:w="28" w:type="dxa"/>
          <w:bottom w:w="28" w:type="dxa"/>
          <w:right w:w="28" w:type="dxa"/>
        </w:tblCellMar>
      </w:tblPr>
      <w:tblGrid>
        <w:gridCol w:w="556"/>
        <w:gridCol w:w="1516"/>
        <w:gridCol w:w="451"/>
        <w:gridCol w:w="516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smallCaps/>
                <w:color w:val="000000"/>
                <w:sz w:val="20"/>
              </w:rPr>
            </w:pPr>
            <w:r>
              <w:rPr>
                <w:rFonts w:ascii="Times New Roman" w:hAnsi="Times New Roman"/>
                <w:b/>
                <w:smallCaps/>
                <w:color w:val="000000"/>
                <w:sz w:val="20"/>
              </w:rPr>
              <w:t>Bolt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1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mallCaps/>
                <w:color w:val="000000"/>
                <w:sz w:val="20"/>
              </w:rPr>
            </w:pPr>
            <w:r>
              <w:rPr>
                <w:rFonts w:ascii="Times New Roman" w:hAnsi="Times New Roman"/>
                <w:smallCaps/>
                <w:color w:val="000000"/>
                <w:sz w:val="20"/>
              </w:rPr>
              <w:t>/s/ William P. Quinn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William P. Quinn</w:t>
              <w:br/>
              <w:t>President, Chief Executive Officer and Chief Financial Officer</w:t>
            </w:r>
          </w:p>
        </w:tc>
      </w:tr>
    </w:tbl>
    <w:p>
      <w:pPr>
        <w:pStyle w:val="TextBody"/>
        <w:bidi w:val="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Certificate of Designation of Preferences, Rights and Limitations of Series D Non-Voting Convertible Preferred Stock</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ANNEX A</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NOTICE OF CONVERSION</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(TO BE EXECUTED BY THE REGISTERED HOLDER IN ORDER TO CONVERT SHARES OF SERIES D NON-VOTING CONVERTIBLE PREFERRED STOCK)</w:t>
      </w:r>
    </w:p>
    <w:p>
      <w:pPr>
        <w:pStyle w:val="TextBody"/>
        <w:bidi w:val="0"/>
        <w:spacing w:before="0" w:after="240"/>
        <w:jc w:val="both"/>
        <w:rPr>
          <w:rFonts w:ascii="Times New Roman" w:hAnsi="Times New Roman"/>
          <w:sz w:val="22"/>
        </w:rPr>
      </w:pPr>
      <w:r>
        <w:rPr>
          <w:rFonts w:ascii="Times New Roman" w:hAnsi="Times New Roman"/>
          <w:color w:val="000000"/>
          <w:sz w:val="22"/>
        </w:rPr>
        <w:t>The undersigned Holder hereby irrevocably elects to convert the number of shares of Series D Non-Voting Preferred Stock indicated below, represented in book-entry form, into shares of common stock, par value $0.00001 per share (the “</w:t>
      </w:r>
      <w:r>
        <w:rPr>
          <w:rFonts w:ascii="Times New Roman" w:hAnsi="Times New Roman"/>
          <w:b/>
          <w:i/>
          <w:color w:val="000000"/>
          <w:sz w:val="22"/>
        </w:rPr>
        <w:t>Common Stock</w:t>
      </w:r>
      <w:r>
        <w:rPr>
          <w:rFonts w:ascii="Times New Roman" w:hAnsi="Times New Roman"/>
          <w:color w:val="000000"/>
          <w:sz w:val="22"/>
        </w:rPr>
        <w:t>”), of Bolt Biotherapeutics, Inc., a Delaware corporation (the “</w:t>
      </w:r>
      <w:r>
        <w:rPr>
          <w:rFonts w:ascii="Times New Roman" w:hAnsi="Times New Roman"/>
          <w:b/>
          <w:i/>
          <w:color w:val="000000"/>
          <w:sz w:val="22"/>
        </w:rPr>
        <w:t>Corporation</w:t>
      </w:r>
      <w:r>
        <w:rPr>
          <w:rFonts w:ascii="Times New Roman" w:hAnsi="Times New Roman"/>
          <w:color w:val="000000"/>
          <w:sz w:val="22"/>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D Non-Voting Convertible Preferred Stock (the “</w:t>
      </w:r>
      <w:r>
        <w:rPr>
          <w:rFonts w:ascii="Times New Roman" w:hAnsi="Times New Roman"/>
          <w:b/>
          <w:i/>
          <w:color w:val="000000"/>
          <w:sz w:val="22"/>
        </w:rPr>
        <w:t>Certificate of Designation</w:t>
      </w:r>
      <w:r>
        <w:rPr>
          <w:rFonts w:ascii="Times New Roman" w:hAnsi="Times New Roman"/>
          <w:color w:val="000000"/>
          <w:sz w:val="22"/>
        </w:rPr>
        <w:t>”) filed by the Corporation with the Secretary of State of the State of Delaware on October 22, 2026.</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As of the date hereof, the number of shares of Common Stock beneficially owned by the undersigned Holder (together with such Holder’s Attribution Parties), including the number of shares of Common Stock issuable upon conversion of the Series D Non-Voting Preferred Stock subject to this Notice of Conversion, but excluding the number of shares of Common Stock which are issuable upon (A) conversion of the remaining, unconverted Series D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color w:val="000000"/>
          <w:sz w:val="22"/>
          <w:u w:val="single"/>
        </w:rPr>
        <w:t>Section 6.4</w:t>
      </w:r>
      <w:r>
        <w:rPr>
          <w:rFonts w:ascii="Times New Roman" w:hAnsi="Times New Roman"/>
          <w:color w:val="000000"/>
          <w:sz w:val="22"/>
        </w:rPr>
        <w:t xml:space="preserve"> of the Certificate of Designation, is less than its Beneficial Ownership Limitation.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CONVERSION CALCULATIONS:</w:t>
      </w:r>
    </w:p>
    <w:tbl>
      <w:tblPr>
        <w:tblW w:w="5829" w:type="dxa"/>
        <w:jc w:val="left"/>
        <w:tblInd w:w="0" w:type="dxa"/>
        <w:tblLayout w:type="fixed"/>
        <w:tblCellMar>
          <w:top w:w="28" w:type="dxa"/>
          <w:left w:w="28" w:type="dxa"/>
          <w:bottom w:w="28" w:type="dxa"/>
          <w:right w:w="28" w:type="dxa"/>
        </w:tblCellMar>
      </w:tblPr>
      <w:tblGrid>
        <w:gridCol w:w="5566"/>
        <w:gridCol w:w="109"/>
        <w:gridCol w:w="154"/>
      </w:tblGrid>
      <w:tr>
        <w:trPr/>
        <w:tc>
          <w:tcPr>
            <w:tcW w:w="5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to Effect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shares of Series D Non-Voting Preferred Stock</w:t>
              <w:br/>
              <w:t>owned prior to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shares of Series D Non-Voting Preferred Stock</w:t>
              <w:br/>
              <w:t>to be Converted: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shares of Common Stock to be Issued: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 for delivery of physical certificates: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If shares are to be issued in book entry form, please so indicate by checking the following box: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DWAC Delivery, please provide the following: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644" w:type="dxa"/>
        <w:jc w:val="left"/>
        <w:tblInd w:w="0" w:type="dxa"/>
        <w:tblLayout w:type="fixed"/>
        <w:tblCellMar>
          <w:top w:w="28" w:type="dxa"/>
          <w:left w:w="28" w:type="dxa"/>
          <w:bottom w:w="28" w:type="dxa"/>
          <w:right w:w="28" w:type="dxa"/>
        </w:tblCellMar>
      </w:tblPr>
      <w:tblGrid>
        <w:gridCol w:w="1381"/>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2"/>
              </w:rPr>
            </w:pPr>
            <w:r>
              <w:rPr>
                <w:rFonts w:ascii="Times New Roman" w:hAnsi="Times New Roman"/>
                <w:color w:val="000000"/>
                <w:sz w:val="22"/>
              </w:rPr>
              <w:t>Broker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2"/>
              </w:rPr>
            </w:pPr>
            <w:r>
              <w:rPr>
                <w:rFonts w:ascii="Times New Roman" w:hAnsi="Times New Roman"/>
                <w:color w:val="000000"/>
                <w:sz w:val="22"/>
              </w:rPr>
              <w:t>Account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2"/>
              </w:rPr>
            </w:pPr>
            <w:r>
              <w:rPr>
                <w:rFonts w:ascii="Times New Roman" w:hAnsi="Times New Roman"/>
                <w:color w:val="000000"/>
                <w:sz w:val="22"/>
              </w:rPr>
              <w:t>[HOLDER]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6" w:name="bolt-ex10_1.htm"/>
      <w:bookmarkStart w:id="7" w:name="ksboltex10_1"/>
      <w:bookmarkEnd w:id="6"/>
      <w:bookmarkEnd w:id="7"/>
      <w:r>
        <w:rPr/>
        <w:t> </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SECURITIES PURCHASE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This </w:t>
      </w:r>
      <w:r>
        <w:rPr>
          <w:rFonts w:ascii="Times New Roman" w:hAnsi="Times New Roman"/>
          <w:b/>
          <w:color w:val="000000"/>
          <w:sz w:val="22"/>
        </w:rPr>
        <w:t>SECURITIES PURCHASE AGREEMENT</w:t>
      </w:r>
      <w:r>
        <w:rPr>
          <w:rFonts w:ascii="Times New Roman" w:hAnsi="Times New Roman"/>
          <w:color w:val="000000"/>
          <w:sz w:val="22"/>
        </w:rPr>
        <w:t xml:space="preserve"> (this “</w:t>
      </w:r>
      <w:r>
        <w:rPr>
          <w:rFonts w:ascii="Times New Roman" w:hAnsi="Times New Roman"/>
          <w:b/>
          <w:color w:val="000000"/>
          <w:sz w:val="22"/>
        </w:rPr>
        <w:t>Agreement</w:t>
      </w:r>
      <w:r>
        <w:rPr>
          <w:rFonts w:ascii="Times New Roman" w:hAnsi="Times New Roman"/>
          <w:color w:val="000000"/>
          <w:sz w:val="22"/>
        </w:rPr>
        <w:t>”) is dated as of October 23, 2026, by and among Bolt Biotherapeutics, Inc., a Delaware corporation (the “</w:t>
      </w:r>
      <w:r>
        <w:rPr>
          <w:rFonts w:ascii="Times New Roman" w:hAnsi="Times New Roman"/>
          <w:b/>
          <w:color w:val="000000"/>
          <w:sz w:val="22"/>
        </w:rPr>
        <w:t>Company</w:t>
      </w:r>
      <w:r>
        <w:rPr>
          <w:rFonts w:ascii="Times New Roman" w:hAnsi="Times New Roman"/>
          <w:color w:val="000000"/>
          <w:sz w:val="22"/>
        </w:rPr>
        <w:t xml:space="preserve">”), and each of the Persons listed on </w:t>
      </w:r>
      <w:r>
        <w:rPr>
          <w:rFonts w:ascii="Times New Roman" w:hAnsi="Times New Roman"/>
          <w:color w:val="000000"/>
          <w:sz w:val="22"/>
          <w:u w:val="single"/>
        </w:rPr>
        <w:t>Exhibit A</w:t>
      </w:r>
      <w:r>
        <w:rPr>
          <w:rFonts w:ascii="Times New Roman" w:hAnsi="Times New Roman"/>
          <w:color w:val="000000"/>
          <w:sz w:val="22"/>
        </w:rPr>
        <w:t xml:space="preserve"> attached to this Agreement (each, an “</w:t>
      </w:r>
      <w:r>
        <w:rPr>
          <w:rFonts w:ascii="Times New Roman" w:hAnsi="Times New Roman"/>
          <w:b/>
          <w:color w:val="000000"/>
          <w:sz w:val="22"/>
        </w:rPr>
        <w:t>Investor</w:t>
      </w:r>
      <w:r>
        <w:rPr>
          <w:rFonts w:ascii="Times New Roman" w:hAnsi="Times New Roman"/>
          <w:color w:val="000000"/>
          <w:sz w:val="22"/>
        </w:rPr>
        <w:t>” and together, the “</w:t>
      </w:r>
      <w:r>
        <w:rPr>
          <w:rFonts w:ascii="Times New Roman" w:hAnsi="Times New Roman"/>
          <w:b/>
          <w:color w:val="000000"/>
          <w:sz w:val="22"/>
        </w:rPr>
        <w:t>Investors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the Company and each of the Investors are executing and delivering this Agreement in reliance upon the exemption from securities registration afforded by Section 4(a)(2) of the Securities Act;</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the Company desires to sell to the Investors, and each Investor desires to purchase from the Company, severally and not jointly, upon the terms and subject to the conditions set forth in this Agreement, an aggregate of 13,995.311 shares (the “</w:t>
      </w:r>
      <w:r>
        <w:rPr>
          <w:rFonts w:ascii="Times New Roman" w:hAnsi="Times New Roman"/>
          <w:b/>
          <w:color w:val="000000"/>
          <w:sz w:val="22"/>
        </w:rPr>
        <w:t>Preferred Shares</w:t>
      </w:r>
      <w:r>
        <w:rPr>
          <w:rFonts w:ascii="Times New Roman" w:hAnsi="Times New Roman"/>
          <w:color w:val="000000"/>
          <w:sz w:val="22"/>
        </w:rPr>
        <w:t>”) of Series D Non-Voting Convertible Preferred Stock, par value $0.00001 per share (together with any other class of securities into which such Series D Non-Voting Convertible Preferred Stock may hereafter be reclassified or changed, the “</w:t>
      </w:r>
      <w:r>
        <w:rPr>
          <w:rFonts w:ascii="Times New Roman" w:hAnsi="Times New Roman"/>
          <w:b/>
          <w:color w:val="000000"/>
          <w:sz w:val="22"/>
        </w:rPr>
        <w:t>Preferred Stock</w:t>
      </w:r>
      <w:r>
        <w:rPr>
          <w:rFonts w:ascii="Times New Roman" w:hAnsi="Times New Roman"/>
          <w:color w:val="000000"/>
          <w:sz w:val="22"/>
        </w:rPr>
        <w:t xml:space="preserve">”), of the Company, having the conversion and other rights, preferences, privileges, powers, restrictions, limitations, terms and conditions specified in the Certificate of Designation of Preferences, Rights and Limitations of Series D Non-Voting Convertible Preferred Stock, in substantially the form attached hereto as </w:t>
      </w:r>
      <w:r>
        <w:rPr>
          <w:rFonts w:ascii="Times New Roman" w:hAnsi="Times New Roman"/>
          <w:color w:val="000000"/>
          <w:sz w:val="22"/>
          <w:u w:val="single"/>
        </w:rPr>
        <w:t>Exhibit B</w:t>
      </w:r>
      <w:r>
        <w:rPr>
          <w:rFonts w:ascii="Times New Roman" w:hAnsi="Times New Roman"/>
          <w:color w:val="000000"/>
          <w:sz w:val="22"/>
        </w:rPr>
        <w:t xml:space="preserve"> (the “</w:t>
      </w:r>
      <w:r>
        <w:rPr>
          <w:rFonts w:ascii="Times New Roman" w:hAnsi="Times New Roman"/>
          <w:b/>
          <w:color w:val="000000"/>
          <w:sz w:val="22"/>
        </w:rPr>
        <w:t>Certificate of Designation</w:t>
      </w:r>
      <w:r>
        <w:rPr>
          <w:rFonts w:ascii="Times New Roman" w:hAnsi="Times New Roman"/>
          <w:color w:val="000000"/>
          <w:sz w:val="22"/>
        </w:rPr>
        <w:t>”), which will be convertible into shares (the “</w:t>
      </w:r>
      <w:r>
        <w:rPr>
          <w:rFonts w:ascii="Times New Roman" w:hAnsi="Times New Roman"/>
          <w:b/>
          <w:color w:val="000000"/>
          <w:sz w:val="22"/>
        </w:rPr>
        <w:t>Conversion Shares</w:t>
      </w:r>
      <w:r>
        <w:rPr>
          <w:rFonts w:ascii="Times New Roman" w:hAnsi="Times New Roman"/>
          <w:color w:val="000000"/>
          <w:sz w:val="22"/>
        </w:rPr>
        <w:t>”) of the Company’s common stock, par value $0.00001 per share (“</w:t>
      </w:r>
      <w:r>
        <w:rPr>
          <w:rFonts w:ascii="Times New Roman" w:hAnsi="Times New Roman"/>
          <w:b/>
          <w:color w:val="000000"/>
          <w:sz w:val="22"/>
        </w:rPr>
        <w:t>Common Stock</w:t>
      </w:r>
      <w:r>
        <w:rPr>
          <w:rFonts w:ascii="Times New Roman" w:hAnsi="Times New Roman"/>
          <w:color w:val="000000"/>
          <w:sz w:val="22"/>
        </w:rPr>
        <w:t xml:space="preserve">”), in accordance with the Certificate of Designation, together with warrants to purchase additional shares of Preferred Stock, in the form attached hereto as </w:t>
      </w:r>
      <w:r>
        <w:rPr>
          <w:rFonts w:ascii="Times New Roman" w:hAnsi="Times New Roman"/>
          <w:color w:val="000000"/>
          <w:sz w:val="22"/>
          <w:u w:val="single"/>
        </w:rPr>
        <w:t>Exhibit D</w:t>
      </w:r>
      <w:r>
        <w:rPr>
          <w:rFonts w:ascii="Times New Roman" w:hAnsi="Times New Roman"/>
          <w:color w:val="000000"/>
          <w:sz w:val="22"/>
        </w:rPr>
        <w:t xml:space="preserve"> (the “</w:t>
      </w:r>
      <w:r>
        <w:rPr>
          <w:rFonts w:ascii="Times New Roman" w:hAnsi="Times New Roman"/>
          <w:b/>
          <w:color w:val="000000"/>
          <w:sz w:val="22"/>
        </w:rPr>
        <w:t>Warrants</w:t>
      </w:r>
      <w:r>
        <w:rPr>
          <w:rFonts w:ascii="Times New Roman" w:hAnsi="Times New Roman"/>
          <w:color w:val="000000"/>
          <w:sz w:val="22"/>
        </w:rPr>
        <w:t>”), representing, in the aggregate, the right to acquire a number of shares of Preferred Stock equal to fifty percent (50%) of the Preferred Shares purchased hereunder (the shares of Preferred Stock issuable upon exercise of the Warrants, the “</w:t>
      </w:r>
      <w:r>
        <w:rPr>
          <w:rFonts w:ascii="Times New Roman" w:hAnsi="Times New Roman"/>
          <w:b/>
          <w:color w:val="000000"/>
          <w:sz w:val="22"/>
        </w:rPr>
        <w:t>Warrant Shares</w:t>
      </w:r>
      <w:r>
        <w:rPr>
          <w:rFonts w:ascii="Times New Roman" w:hAnsi="Times New Roman"/>
          <w:color w:val="000000"/>
          <w:sz w:val="22"/>
        </w:rPr>
        <w:t>”, and together with the Preferred Shares, the Conversion Shares and the Warrants, the “</w:t>
      </w:r>
      <w:r>
        <w:rPr>
          <w:rFonts w:ascii="Times New Roman" w:hAnsi="Times New Roman"/>
          <w:b/>
          <w:color w:val="000000"/>
          <w:sz w:val="22"/>
        </w:rPr>
        <w:t>Securities</w:t>
      </w:r>
      <w:r>
        <w:rPr>
          <w:rFonts w:ascii="Times New Roman" w:hAnsi="Times New Roman"/>
          <w:color w:val="000000"/>
          <w:sz w:val="22"/>
        </w:rPr>
        <w:t>”);</w:t>
      </w:r>
    </w:p>
    <w:p>
      <w:pPr>
        <w:pStyle w:val="TextBody"/>
        <w:bidi w:val="0"/>
        <w:spacing w:lineRule="auto" w:line="360" w:before="0" w:after="240"/>
        <w:jc w:val="both"/>
        <w:rPr>
          <w:rFonts w:ascii="Times New Roman" w:hAnsi="Times New Roman"/>
          <w:sz w:val="15"/>
        </w:rPr>
      </w:pPr>
      <w:r>
        <w:rPr>
          <w:rFonts w:ascii="Times New Roman" w:hAnsi="Times New Roman"/>
          <w:b/>
          <w:color w:val="000000"/>
          <w:sz w:val="22"/>
        </w:rPr>
        <w:t>WHEREAS</w:t>
      </w:r>
      <w:r>
        <w:rPr>
          <w:rFonts w:ascii="Times New Roman" w:hAnsi="Times New Roman"/>
          <w:color w:val="000000"/>
          <w:sz w:val="22"/>
        </w:rPr>
        <w:t>, pursuant to the Certificate of Designation, the conversion of the Preferred Stock into Conversion Shares will be subject to receipt of the Requisite Stockholder Approval (as defined below), and subject to the Beneficial Ownership Limitation (as defined in the Certificate of Designation), will occur automatically on the third (3</w:t>
      </w:r>
      <w:r>
        <w:rPr>
          <w:rFonts w:ascii="Times New Roman" w:hAnsi="Times New Roman"/>
          <w:color w:val="000000"/>
          <w:sz w:val="15"/>
        </w:rPr>
        <w:t>rd</w:t>
      </w:r>
      <w:r>
        <w:rPr>
          <w:rFonts w:ascii="Times New Roman" w:hAnsi="Times New Roman"/>
          <w:color w:val="000000"/>
          <w:sz w:val="22"/>
        </w:rPr>
        <w:t>) Business Day following receipt of the Requisite Stockholder Approval;</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on or about the date hereof, the Company is entering into an Agreement and Plan of Merger by and among the Company, Prana Therapies, Inc., a Delaware corporation (“</w:t>
      </w:r>
      <w:r>
        <w:rPr>
          <w:rFonts w:ascii="Times New Roman" w:hAnsi="Times New Roman"/>
          <w:b/>
          <w:color w:val="000000"/>
          <w:sz w:val="22"/>
        </w:rPr>
        <w:t>Prana</w:t>
      </w:r>
      <w:r>
        <w:rPr>
          <w:rFonts w:ascii="Times New Roman" w:hAnsi="Times New Roman"/>
          <w:color w:val="000000"/>
          <w:sz w:val="22"/>
        </w:rPr>
        <w:t>”), Prince Merger Sub I, Inc., a Delaware corporation and wholly owned subsidiary of the Company (“</w:t>
      </w:r>
      <w:r>
        <w:rPr>
          <w:rFonts w:ascii="Times New Roman" w:hAnsi="Times New Roman"/>
          <w:b/>
          <w:color w:val="000000"/>
          <w:sz w:val="22"/>
        </w:rPr>
        <w:t>First Merger Sub</w:t>
      </w:r>
      <w:r>
        <w:rPr>
          <w:rFonts w:ascii="Times New Roman" w:hAnsi="Times New Roman"/>
          <w:color w:val="000000"/>
          <w:sz w:val="22"/>
        </w:rPr>
        <w:t>”), and Prince Merger Sub II, LLC, a Delaware limited liability company and wholly owned subsidiary of the Company (“</w:t>
      </w:r>
      <w:r>
        <w:rPr>
          <w:rFonts w:ascii="Times New Roman" w:hAnsi="Times New Roman"/>
          <w:b/>
          <w:color w:val="000000"/>
          <w:sz w:val="22"/>
        </w:rPr>
        <w:t>Second Merger Sub</w:t>
      </w:r>
      <w:r>
        <w:rPr>
          <w:rFonts w:ascii="Times New Roman" w:hAnsi="Times New Roman"/>
          <w:color w:val="000000"/>
          <w:sz w:val="22"/>
        </w:rPr>
        <w:t>”), dated on or around the date hereof (as amended from time to time, the “</w:t>
      </w:r>
      <w:r>
        <w:rPr>
          <w:rFonts w:ascii="Times New Roman" w:hAnsi="Times New Roman"/>
          <w:b/>
          <w:color w:val="000000"/>
          <w:sz w:val="22"/>
        </w:rPr>
        <w:t>Merger Agreement</w:t>
      </w:r>
      <w:r>
        <w:rPr>
          <w:rFonts w:ascii="Times New Roman" w:hAnsi="Times New Roman"/>
          <w:color w:val="000000"/>
          <w:sz w:val="22"/>
        </w:rPr>
        <w:t>”), pursuant to which, upon the terms and subject to the conditions set forth therein, (i) First Merger Sub will merge with and into Prana, with Prana surviving and becoming a wholly owned subsidiary of the Company (the “</w:t>
      </w:r>
      <w:r>
        <w:rPr>
          <w:rFonts w:ascii="Times New Roman" w:hAnsi="Times New Roman"/>
          <w:b/>
          <w:color w:val="000000"/>
          <w:sz w:val="22"/>
        </w:rPr>
        <w:t>First Merger</w:t>
      </w:r>
      <w:r>
        <w:rPr>
          <w:rFonts w:ascii="Times New Roman" w:hAnsi="Times New Roman"/>
          <w:color w:val="000000"/>
          <w:sz w:val="22"/>
        </w:rPr>
        <w:t>”), and (ii) Prana will thereafter merge with and into Second Merger Sub, with Second Merger Sub surviving and remaining a wholly owned subsidiary of the Company (the “</w:t>
      </w:r>
      <w:r>
        <w:rPr>
          <w:rFonts w:ascii="Times New Roman" w:hAnsi="Times New Roman"/>
          <w:b/>
          <w:color w:val="000000"/>
          <w:sz w:val="22"/>
        </w:rPr>
        <w:t>Second Merger</w:t>
      </w:r>
      <w:r>
        <w:rPr>
          <w:rFonts w:ascii="Times New Roman" w:hAnsi="Times New Roman"/>
          <w:color w:val="000000"/>
          <w:sz w:val="22"/>
        </w:rPr>
        <w:t>” and, together with the First Merger, the “</w:t>
      </w:r>
      <w:r>
        <w:rPr>
          <w:rFonts w:ascii="Times New Roman" w:hAnsi="Times New Roman"/>
          <w:b/>
          <w:color w:val="000000"/>
          <w:sz w:val="22"/>
        </w:rPr>
        <w:t>Merger</w:t>
      </w:r>
      <w:r>
        <w:rPr>
          <w:rFonts w:ascii="Times New Roman" w:hAnsi="Times New Roman"/>
          <w:color w:val="000000"/>
          <w:sz w:val="22"/>
        </w:rPr>
        <w:t xml:space="preserve">”); and </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xml:space="preserve">, contemporaneously with the sale of the Preferred Shares, the Investors and the Company are entering into a Registration Rights Agreement, substantially in the form attached hereto as </w:t>
      </w:r>
      <w:r>
        <w:rPr>
          <w:rFonts w:ascii="Times New Roman" w:hAnsi="Times New Roman"/>
          <w:color w:val="000000"/>
          <w:sz w:val="22"/>
          <w:u w:val="single"/>
        </w:rPr>
        <w:t>Exhibit C</w:t>
      </w:r>
      <w:r>
        <w:rPr>
          <w:rFonts w:ascii="Times New Roman" w:hAnsi="Times New Roman"/>
          <w:color w:val="000000"/>
          <w:sz w:val="22"/>
        </w:rPr>
        <w:t xml:space="preserve"> (the “</w:t>
      </w:r>
      <w:r>
        <w:rPr>
          <w:rFonts w:ascii="Times New Roman" w:hAnsi="Times New Roman"/>
          <w:b/>
          <w:color w:val="000000"/>
          <w:sz w:val="22"/>
        </w:rPr>
        <w:t>Registration Rights Agreement</w:t>
      </w:r>
      <w:r>
        <w:rPr>
          <w:rFonts w:ascii="Times New Roman" w:hAnsi="Times New Roman"/>
          <w:color w:val="000000"/>
          <w:sz w:val="22"/>
        </w:rPr>
        <w:t>”), pursuant to which the Company will agree to provide certain registration rights in respect of the Conversion Shares under the Securities Act and applicable state securities laws.</w:t>
      </w:r>
    </w:p>
    <w:p>
      <w:pPr>
        <w:pStyle w:val="TextBody"/>
        <w:bidi w:val="0"/>
        <w:spacing w:before="0" w:after="240"/>
        <w:jc w:val="both"/>
        <w:rPr>
          <w:rFonts w:ascii="Times New Roman" w:hAnsi="Times New Roman"/>
          <w:sz w:val="22"/>
        </w:rPr>
      </w:pPr>
      <w:r>
        <w:rPr>
          <w:rFonts w:ascii="Times New Roman" w:hAnsi="Times New Roman"/>
          <w:b/>
          <w:color w:val="000000"/>
          <w:sz w:val="22"/>
        </w:rPr>
        <w:t>NOW THEREFORE</w:t>
      </w:r>
      <w:r>
        <w:rPr>
          <w:rFonts w:ascii="Times New Roman" w:hAnsi="Times New Roman"/>
          <w:color w:val="000000"/>
          <w:sz w:val="22"/>
        </w:rPr>
        <w:t>, in consideration of the mutual agreements, representations, warranties and covenants herein contained, the Company and each Investor, severally and not jointly, agree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u w:val="single"/>
        </w:rPr>
        <w:t>Definitions</w:t>
      </w:r>
      <w:r>
        <w:rPr>
          <w:rFonts w:ascii="Times New Roman" w:hAnsi="Times New Roman"/>
          <w:color w:val="000000"/>
          <w:sz w:val="22"/>
        </w:rPr>
        <w:t>. As used in this Agreement, the following terms shall have the following respective meanings:</w:t>
      </w:r>
    </w:p>
    <w:p>
      <w:pPr>
        <w:pStyle w:val="TextBody"/>
        <w:bidi w:val="0"/>
        <w:spacing w:before="0" w:after="240"/>
        <w:jc w:val="both"/>
        <w:rPr/>
      </w:pPr>
      <w:r>
        <w:rPr>
          <w:color w:val="000000"/>
        </w:rPr>
        <w:t>“</w:t>
      </w:r>
      <w:r>
        <w:rPr>
          <w:rFonts w:ascii="Times New Roman" w:hAnsi="Times New Roman"/>
          <w:b/>
          <w:color w:val="000000"/>
          <w:sz w:val="22"/>
        </w:rPr>
        <w:t>Affiliate</w:t>
      </w:r>
      <w:r>
        <w:rPr>
          <w:rFonts w:ascii="Times New Roman" w:hAnsi="Times New Roman"/>
          <w:color w:val="000000"/>
          <w:sz w:val="22"/>
        </w:rPr>
        <w:t xml:space="preserve">” means, with respect to any specified Person, (a) any other Person that, directly or indirectly through one or more intermediaries, controls, is controlled by or is under common control with such Person or (b) in the event that the specified Person is a natural Person, a member of such Person’s immediate family; </w:t>
      </w:r>
      <w:r>
        <w:rPr>
          <w:rFonts w:ascii="Times New Roman" w:hAnsi="Times New Roman"/>
          <w:color w:val="000000"/>
          <w:sz w:val="22"/>
          <w:u w:val="single"/>
        </w:rPr>
        <w:t>provided</w:t>
      </w:r>
      <w:r>
        <w:rPr>
          <w:rFonts w:ascii="Times New Roman" w:hAnsi="Times New Roman"/>
          <w:color w:val="000000"/>
          <w:sz w:val="22"/>
        </w:rPr>
        <w:t xml:space="preserve"> that the Company and each of its Subsidiaries shall be deemed not to be Affiliates of any Investor. As used in this definition, the term “control” means the possession, directly or indirectly, of the power to direct or cause the direction of the management and policies of a Person, whether through ownership of voting securities, by contract or otherwise; </w:t>
      </w:r>
      <w:r>
        <w:rPr>
          <w:rFonts w:ascii="Times New Roman" w:hAnsi="Times New Roman"/>
          <w:color w:val="000000"/>
          <w:sz w:val="22"/>
          <w:u w:val="single"/>
        </w:rPr>
        <w:t>provided</w:t>
      </w:r>
      <w:r>
        <w:rPr>
          <w:rFonts w:ascii="Times New Roman" w:hAnsi="Times New Roman"/>
          <w:color w:val="000000"/>
          <w:sz w:val="22"/>
        </w:rPr>
        <w:t xml:space="preserve"> that the Affiliates of any Person that is an investment fund shall not include any portfolio companies of such investment fund or any affiliated investment fund.</w:t>
      </w:r>
    </w:p>
    <w:p>
      <w:pPr>
        <w:pStyle w:val="TextBody"/>
        <w:bidi w:val="0"/>
        <w:spacing w:before="0" w:after="240"/>
        <w:jc w:val="both"/>
        <w:rPr/>
      </w:pPr>
      <w:r>
        <w:rPr>
          <w:color w:val="000000"/>
        </w:rPr>
        <w:t>“</w:t>
      </w:r>
      <w:r>
        <w:rPr>
          <w:rFonts w:ascii="Times New Roman" w:hAnsi="Times New Roman"/>
          <w:b/>
          <w:color w:val="000000"/>
          <w:sz w:val="22"/>
        </w:rPr>
        <w:t>Agreement</w:t>
      </w:r>
      <w:r>
        <w:rPr>
          <w:rFonts w:ascii="Times New Roman" w:hAnsi="Times New Roman"/>
          <w:color w:val="000000"/>
          <w:sz w:val="22"/>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2"/>
        </w:rPr>
        <w:t>Amended and Restated Bylaws</w:t>
      </w:r>
      <w:r>
        <w:rPr>
          <w:rFonts w:ascii="Times New Roman" w:hAnsi="Times New Roman"/>
          <w:color w:val="000000"/>
          <w:sz w:val="22"/>
        </w:rPr>
        <w:t>” means the Amended and Restated Bylaws of the Company, as currently in effect.</w:t>
      </w:r>
    </w:p>
    <w:p>
      <w:pPr>
        <w:pStyle w:val="TextBody"/>
        <w:bidi w:val="0"/>
        <w:spacing w:before="0" w:after="240"/>
        <w:jc w:val="both"/>
        <w:rPr/>
      </w:pPr>
      <w:r>
        <w:rPr>
          <w:color w:val="000000"/>
        </w:rPr>
        <w:t>“</w:t>
      </w:r>
      <w:r>
        <w:rPr>
          <w:rFonts w:ascii="Times New Roman" w:hAnsi="Times New Roman"/>
          <w:b/>
          <w:color w:val="000000"/>
          <w:sz w:val="22"/>
        </w:rPr>
        <w:t>Amended and Restated Certificate of Incorporation</w:t>
      </w:r>
      <w:r>
        <w:rPr>
          <w:rFonts w:ascii="Times New Roman" w:hAnsi="Times New Roman"/>
          <w:color w:val="000000"/>
          <w:sz w:val="22"/>
        </w:rPr>
        <w:t>” means the Amended and Restated Certificate of Incorporation of the Company (formerly, Bolt Therapeutics, Inc.), as amended and currently in effect.</w:t>
      </w:r>
    </w:p>
    <w:p>
      <w:pPr>
        <w:pStyle w:val="TextBody"/>
        <w:bidi w:val="0"/>
        <w:spacing w:before="0" w:after="240"/>
        <w:jc w:val="both"/>
        <w:rPr/>
      </w:pPr>
      <w:r>
        <w:rPr>
          <w:color w:val="000000"/>
        </w:rPr>
        <w:t>“</w:t>
      </w:r>
      <w:r>
        <w:rPr>
          <w:rFonts w:ascii="Times New Roman" w:hAnsi="Times New Roman"/>
          <w:b/>
          <w:color w:val="000000"/>
          <w:sz w:val="22"/>
        </w:rPr>
        <w:t>Benefit Plan</w:t>
      </w:r>
      <w:r>
        <w:rPr>
          <w:rFonts w:ascii="Times New Roman" w:hAnsi="Times New Roman"/>
          <w:color w:val="000000"/>
          <w:sz w:val="22"/>
        </w:rPr>
        <w:t>” or “</w:t>
      </w:r>
      <w:r>
        <w:rPr>
          <w:rFonts w:ascii="Times New Roman" w:hAnsi="Times New Roman"/>
          <w:b/>
          <w:color w:val="000000"/>
          <w:sz w:val="22"/>
        </w:rPr>
        <w:t>Benefit Plans</w:t>
      </w:r>
      <w:r>
        <w:rPr>
          <w:rFonts w:ascii="Times New Roman" w:hAnsi="Times New Roman"/>
          <w:color w:val="000000"/>
          <w:sz w:val="22"/>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pStyle w:val="TextBody"/>
        <w:bidi w:val="0"/>
        <w:spacing w:before="0" w:after="240"/>
        <w:jc w:val="both"/>
        <w:rPr/>
      </w:pPr>
      <w:r>
        <w:rPr>
          <w:color w:val="000000"/>
        </w:rPr>
        <w:t>“</w:t>
      </w:r>
      <w:r>
        <w:rPr>
          <w:rFonts w:ascii="Times New Roman" w:hAnsi="Times New Roman"/>
          <w:b/>
          <w:color w:val="000000"/>
          <w:sz w:val="22"/>
        </w:rPr>
        <w:t>Board of Directors</w:t>
      </w:r>
      <w:r>
        <w:rPr>
          <w:rFonts w:ascii="Times New Roman" w:hAnsi="Times New Roman"/>
          <w:color w:val="000000"/>
          <w:sz w:val="22"/>
        </w:rPr>
        <w:t>” means the board of directors of the Company.</w:t>
      </w:r>
    </w:p>
    <w:p>
      <w:pPr>
        <w:pStyle w:val="TextBody"/>
        <w:bidi w:val="0"/>
        <w:spacing w:before="0" w:after="240"/>
        <w:jc w:val="both"/>
        <w:rPr/>
      </w:pPr>
      <w:r>
        <w:rPr>
          <w:color w:val="000000"/>
        </w:rPr>
        <w:t>“</w:t>
      </w:r>
      <w:r>
        <w:rPr>
          <w:rFonts w:ascii="Times New Roman" w:hAnsi="Times New Roman"/>
          <w:b/>
          <w:color w:val="000000"/>
          <w:sz w:val="22"/>
        </w:rPr>
        <w:t>Business Day</w:t>
      </w:r>
      <w:r>
        <w:rPr>
          <w:rFonts w:ascii="Times New Roman" w:hAnsi="Times New Roman"/>
          <w:color w:val="000000"/>
          <w:sz w:val="22"/>
        </w:rPr>
        <w:t>” means any day except any Saturday, any Sunday, any day which is a federal legal holiday in the United States or any day on which banking institutions in the States of New York or California are authorized or required by law or other governmental action to close.</w:t>
      </w:r>
    </w:p>
    <w:p>
      <w:pPr>
        <w:pStyle w:val="TextBody"/>
        <w:bidi w:val="0"/>
        <w:spacing w:before="0" w:after="240"/>
        <w:jc w:val="both"/>
        <w:rPr/>
      </w:pPr>
      <w:r>
        <w:rPr>
          <w:color w:val="000000"/>
        </w:rPr>
        <w:t>“</w:t>
      </w:r>
      <w:r>
        <w:rPr>
          <w:rFonts w:ascii="Times New Roman" w:hAnsi="Times New Roman"/>
          <w:b/>
          <w:color w:val="000000"/>
          <w:sz w:val="22"/>
        </w:rPr>
        <w:t>Certificate of Designation</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Closing</w:t>
      </w:r>
      <w:r>
        <w:rPr>
          <w:rFonts w:ascii="Times New Roman" w:hAnsi="Times New Roman"/>
          <w:color w:val="000000"/>
          <w:sz w:val="22"/>
        </w:rPr>
        <w:t xml:space="preserve">” has the meaning set forth in </w:t>
      </w:r>
      <w:r>
        <w:rPr>
          <w:rFonts w:ascii="Times New Roman" w:hAnsi="Times New Roman"/>
          <w:color w:val="000000"/>
          <w:sz w:val="22"/>
          <w:u w:val="single"/>
        </w:rPr>
        <w:t>Section 2.2</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Closing Date</w:t>
      </w:r>
      <w:r>
        <w:rPr>
          <w:rFonts w:ascii="Times New Roman" w:hAnsi="Times New Roman"/>
          <w:color w:val="000000"/>
          <w:sz w:val="22"/>
        </w:rPr>
        <w:t xml:space="preserve">” has the meaning set forth in </w:t>
      </w:r>
      <w:r>
        <w:rPr>
          <w:rFonts w:ascii="Times New Roman" w:hAnsi="Times New Roman"/>
          <w:color w:val="000000"/>
          <w:sz w:val="22"/>
          <w:u w:val="single"/>
        </w:rPr>
        <w:t>Section 2.2</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Code</w:t>
      </w:r>
      <w:r>
        <w:rPr>
          <w:rFonts w:ascii="Times New Roman" w:hAnsi="Times New Roman"/>
          <w:color w:val="000000"/>
          <w:sz w:val="22"/>
        </w:rPr>
        <w:t>” means the U.S. Internal Revenue Code of 1986, as amended, and the rules and regulations and published interpretations thereunder.</w:t>
      </w:r>
    </w:p>
    <w:p>
      <w:pPr>
        <w:pStyle w:val="TextBody"/>
        <w:bidi w:val="0"/>
        <w:spacing w:before="0" w:after="240"/>
        <w:jc w:val="both"/>
        <w:rPr/>
      </w:pPr>
      <w:r>
        <w:rPr>
          <w:color w:val="000000"/>
        </w:rPr>
        <w:t>“</w:t>
      </w:r>
      <w:r>
        <w:rPr>
          <w:rFonts w:ascii="Times New Roman" w:hAnsi="Times New Roman"/>
          <w:b/>
          <w:color w:val="000000"/>
          <w:sz w:val="22"/>
        </w:rPr>
        <w:t>Common Stock</w:t>
      </w:r>
      <w:r>
        <w:rPr>
          <w:rFonts w:ascii="Times New Roman" w:hAnsi="Times New Roman"/>
          <w:color w:val="000000"/>
          <w:sz w:val="22"/>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2"/>
        </w:rPr>
        <w:t>Common Stock Equivalents</w:t>
      </w:r>
      <w:r>
        <w:rPr>
          <w:rFonts w:ascii="Times New Roman" w:hAnsi="Times New Roman"/>
          <w:color w:val="000000"/>
          <w:sz w:val="22"/>
        </w:rPr>
        <w:t>”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Company</w:t>
      </w:r>
      <w:r>
        <w:rPr>
          <w:rFonts w:ascii="Times New Roman" w:hAnsi="Times New Roman"/>
          <w:color w:val="000000"/>
          <w:sz w:val="22"/>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2"/>
        </w:rPr>
        <w:t>Company Lock-Up Agreements</w:t>
      </w:r>
      <w:r>
        <w:rPr>
          <w:rFonts w:ascii="Times New Roman" w:hAnsi="Times New Roman"/>
          <w:color w:val="000000"/>
          <w:sz w:val="22"/>
        </w:rPr>
        <w:t>” has the meaning set forth in Section 6.3 of the Merger Agreement.</w:t>
      </w:r>
    </w:p>
    <w:p>
      <w:pPr>
        <w:pStyle w:val="TextBody"/>
        <w:bidi w:val="0"/>
        <w:spacing w:before="0" w:after="240"/>
        <w:jc w:val="both"/>
        <w:rPr/>
      </w:pPr>
      <w:r>
        <w:rPr>
          <w:color w:val="000000"/>
        </w:rPr>
        <w:t>“</w:t>
      </w:r>
      <w:r>
        <w:rPr>
          <w:rFonts w:ascii="Times New Roman" w:hAnsi="Times New Roman"/>
          <w:b/>
          <w:color w:val="000000"/>
          <w:sz w:val="22"/>
        </w:rPr>
        <w:t>Confidential Data</w:t>
      </w:r>
      <w:r>
        <w:rPr>
          <w:rFonts w:ascii="Times New Roman" w:hAnsi="Times New Roman"/>
          <w:color w:val="000000"/>
          <w:sz w:val="22"/>
        </w:rPr>
        <w:t xml:space="preserve">” has the meaning set forth in </w:t>
      </w:r>
      <w:r>
        <w:rPr>
          <w:rFonts w:ascii="Times New Roman" w:hAnsi="Times New Roman"/>
          <w:color w:val="000000"/>
          <w:sz w:val="22"/>
          <w:u w:val="single"/>
        </w:rPr>
        <w:t>Section 3.30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Conversion Shares</w:t>
      </w:r>
      <w:r>
        <w:rPr>
          <w:rFonts w:ascii="Times New Roman" w:hAnsi="Times New Roman"/>
          <w:color w:val="000000"/>
          <w:sz w:val="22"/>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2"/>
        </w:rPr>
        <w:t>DGCL</w:t>
      </w:r>
      <w:r>
        <w:rPr>
          <w:rFonts w:ascii="Times New Roman" w:hAnsi="Times New Roman"/>
          <w:color w:val="000000"/>
          <w:sz w:val="22"/>
        </w:rPr>
        <w:t>” means the General Corporation Law of the State of Delaware.</w:t>
      </w:r>
    </w:p>
    <w:p>
      <w:pPr>
        <w:pStyle w:val="TextBody"/>
        <w:bidi w:val="0"/>
        <w:spacing w:before="0" w:after="240"/>
        <w:jc w:val="both"/>
        <w:rPr/>
      </w:pPr>
      <w:r>
        <w:rPr>
          <w:color w:val="000000"/>
        </w:rPr>
        <w:t>“</w:t>
      </w:r>
      <w:r>
        <w:rPr>
          <w:rFonts w:ascii="Times New Roman" w:hAnsi="Times New Roman"/>
          <w:b/>
          <w:color w:val="000000"/>
          <w:sz w:val="22"/>
        </w:rPr>
        <w:t>Disclosure Document</w:t>
      </w:r>
      <w:r>
        <w:rPr>
          <w:rFonts w:ascii="Times New Roman" w:hAnsi="Times New Roman"/>
          <w:color w:val="000000"/>
          <w:sz w:val="22"/>
        </w:rPr>
        <w:t xml:space="preserve">” has the meaning set forth in </w:t>
      </w:r>
      <w:r>
        <w:rPr>
          <w:rFonts w:ascii="Times New Roman" w:hAnsi="Times New Roman"/>
          <w:color w:val="000000"/>
          <w:sz w:val="22"/>
          <w:u w:val="single"/>
        </w:rPr>
        <w:t>Section 5.3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Disclosure Time</w:t>
      </w:r>
      <w:r>
        <w:rPr>
          <w:rFonts w:ascii="Times New Roman" w:hAnsi="Times New Roman"/>
          <w:color w:val="000000"/>
          <w:sz w:val="22"/>
        </w:rPr>
        <w:t xml:space="preserve">” has the meaning set forth in </w:t>
      </w:r>
      <w:r>
        <w:rPr>
          <w:rFonts w:ascii="Times New Roman" w:hAnsi="Times New Roman"/>
          <w:color w:val="000000"/>
          <w:sz w:val="22"/>
          <w:u w:val="single"/>
        </w:rPr>
        <w:t>Section 5.3</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Drug Regulatory Agency</w:t>
      </w:r>
      <w:r>
        <w:rPr>
          <w:rFonts w:ascii="Times New Roman" w:hAnsi="Times New Roman"/>
          <w:color w:val="000000"/>
          <w:sz w:val="22"/>
        </w:rPr>
        <w:t>” means the FDA or other applicable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having jurisdiction over the Company or any of its Subsidiaries.</w:t>
      </w:r>
    </w:p>
    <w:p>
      <w:pPr>
        <w:pStyle w:val="TextBody"/>
        <w:bidi w:val="0"/>
        <w:spacing w:before="0" w:after="240"/>
        <w:jc w:val="both"/>
        <w:rPr/>
      </w:pPr>
      <w:r>
        <w:rPr>
          <w:color w:val="000000"/>
        </w:rPr>
        <w:t>“</w:t>
      </w:r>
      <w:r>
        <w:rPr>
          <w:rFonts w:ascii="Times New Roman" w:hAnsi="Times New Roman"/>
          <w:b/>
          <w:color w:val="000000"/>
          <w:sz w:val="22"/>
        </w:rPr>
        <w:t>Environmental Laws</w:t>
      </w:r>
      <w:r>
        <w:rPr>
          <w:rFonts w:ascii="Times New Roman" w:hAnsi="Times New Roman"/>
          <w:color w:val="000000"/>
          <w:sz w:val="22"/>
        </w:rPr>
        <w:t xml:space="preserve">” has the meaning set forth in </w:t>
      </w:r>
      <w:r>
        <w:rPr>
          <w:rFonts w:ascii="Times New Roman" w:hAnsi="Times New Roman"/>
          <w:color w:val="000000"/>
          <w:sz w:val="22"/>
          <w:u w:val="single"/>
        </w:rPr>
        <w:t>Section 3.15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ERISA</w:t>
      </w:r>
      <w:r>
        <w:rPr>
          <w:rFonts w:ascii="Times New Roman" w:hAnsi="Times New Roman"/>
          <w:color w:val="000000"/>
          <w:sz w:val="22"/>
        </w:rPr>
        <w:t>” means the U.S. Employee Retirement Income Security Act of 1974, as amended, and the regulations and published interpretations thereunder.</w:t>
      </w:r>
    </w:p>
    <w:p>
      <w:pPr>
        <w:pStyle w:val="TextBody"/>
        <w:bidi w:val="0"/>
        <w:spacing w:before="0" w:after="240"/>
        <w:jc w:val="both"/>
        <w:rPr/>
      </w:pPr>
      <w:r>
        <w:rPr>
          <w:color w:val="000000"/>
        </w:rPr>
        <w:t>“</w:t>
      </w:r>
      <w:r>
        <w:rPr>
          <w:rFonts w:ascii="Times New Roman" w:hAnsi="Times New Roman"/>
          <w:b/>
          <w:color w:val="000000"/>
          <w:sz w:val="22"/>
        </w:rPr>
        <w:t>Exchange Act</w:t>
      </w:r>
      <w:r>
        <w:rPr>
          <w:rFonts w:ascii="Times New Roman" w:hAnsi="Times New Roman"/>
          <w:color w:val="000000"/>
          <w:sz w:val="22"/>
        </w:rPr>
        <w:t>” means the U.S.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b/>
          <w:color w:val="000000"/>
          <w:sz w:val="22"/>
        </w:rPr>
        <w:t>Exempt Issuance</w:t>
      </w:r>
      <w:r>
        <w:rPr>
          <w:rFonts w:ascii="Times New Roman" w:hAnsi="Times New Roman"/>
          <w:color w:val="000000"/>
          <w:sz w:val="22"/>
        </w:rPr>
        <w:t xml:space="preserve">” means the issuance (a) of shares of Common Stock or options to employees, consultants, officers or directors of the Company or any of its Subsidiaries (including, for purposes of this definition, Prana and its Subsidiaries) pursuant to any stock incentive compensation, option, stock bonus or similar plan or arrangement approved by a majority of the non-employee members of the Board of Directors (or a majority of the members of a committee of non-employee directors established for such purpose) or by the stockholders of the Company, in each case for services rendered to the Company; provided that such stock incentive compensation, option, stock bonus or similar plan or arrangement either (x) exists as of the date hereof, (y) is a new equity incentive plan or employee stock purchase plan approved by the Board of Directors in connection with the Merger or (z) is an inducement plan, (b) of securities upon the exchange or conversion of any Securities issued hereunder or upon the exchange or conversion of securities issued under the Merger Agreement, and/or securities (including options, rights or warrants) exercisable or exchangeable for or convertible into shares of Common Stock issued and outstanding on the date of this Agreement; (c) upon conversion or settlement of outstanding indebtedness of the Company or Prana (or, in each case, any Subsidiary thereof) as of the date hereof; and (d) of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w:t>
      </w:r>
      <w:r>
        <w:rPr>
          <w:rFonts w:ascii="Times New Roman" w:hAnsi="Times New Roman"/>
          <w:color w:val="000000"/>
          <w:sz w:val="22"/>
          <w:u w:val="single"/>
        </w:rPr>
        <w:t>Section 5.11</w:t>
      </w:r>
      <w:r>
        <w:rPr>
          <w:rFonts w:ascii="Times New Roman" w:hAnsi="Times New Roman"/>
          <w:color w:val="000000"/>
          <w:sz w:val="22"/>
        </w:rPr>
        <w:t xml:space="preserve">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business is investing in securities; (e) of securities in accordance with the Merger Agreement; and (f) securities issued pursuant to license agreements or for investor relations services, provided that such securities are issued as “restricted securities” and carry no registration rights that require or permit the filing of any registration statement in connection therewith during the prohibition period in </w:t>
      </w:r>
      <w:r>
        <w:rPr>
          <w:rFonts w:ascii="Times New Roman" w:hAnsi="Times New Roman"/>
          <w:color w:val="000000"/>
          <w:sz w:val="22"/>
          <w:u w:val="single"/>
        </w:rPr>
        <w:t>Section 5.11</w:t>
      </w:r>
      <w:r>
        <w:rPr>
          <w:rFonts w:ascii="Times New Roman" w:hAnsi="Times New Roman"/>
          <w:color w:val="000000"/>
          <w:sz w:val="22"/>
        </w:rPr>
        <w:t xml:space="preserve"> herein. </w:t>
      </w:r>
    </w:p>
    <w:p>
      <w:pPr>
        <w:pStyle w:val="TextBody"/>
        <w:bidi w:val="0"/>
        <w:spacing w:before="0" w:after="240"/>
        <w:jc w:val="both"/>
        <w:rPr/>
      </w:pPr>
      <w:r>
        <w:rPr>
          <w:color w:val="000000"/>
        </w:rPr>
        <w:t>“</w:t>
      </w:r>
      <w:r>
        <w:rPr>
          <w:rFonts w:ascii="Times New Roman" w:hAnsi="Times New Roman"/>
          <w:b/>
          <w:color w:val="000000"/>
          <w:sz w:val="22"/>
        </w:rPr>
        <w:t>FDA</w:t>
      </w:r>
      <w:r>
        <w:rPr>
          <w:rFonts w:ascii="Times New Roman" w:hAnsi="Times New Roman"/>
          <w:color w:val="000000"/>
          <w:sz w:val="22"/>
        </w:rPr>
        <w:t xml:space="preserve">” has the meaning set forth in </w:t>
      </w:r>
      <w:r>
        <w:rPr>
          <w:rFonts w:ascii="Times New Roman" w:hAnsi="Times New Roman"/>
          <w:color w:val="000000"/>
          <w:sz w:val="22"/>
          <w:u w:val="single"/>
        </w:rPr>
        <w:t>Section 3.20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FDCA</w:t>
      </w:r>
      <w:r>
        <w:rPr>
          <w:rFonts w:ascii="Times New Roman" w:hAnsi="Times New Roman"/>
          <w:color w:val="000000"/>
          <w:sz w:val="22"/>
        </w:rPr>
        <w:t xml:space="preserve">” has the meaning set forth in </w:t>
      </w:r>
      <w:r>
        <w:rPr>
          <w:rFonts w:ascii="Times New Roman" w:hAnsi="Times New Roman"/>
          <w:color w:val="000000"/>
          <w:sz w:val="22"/>
          <w:u w:val="single"/>
        </w:rPr>
        <w:t>Section 3.20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Financial Statements</w:t>
      </w:r>
      <w:r>
        <w:rPr>
          <w:rFonts w:ascii="Times New Roman" w:hAnsi="Times New Roman"/>
          <w:color w:val="000000"/>
          <w:sz w:val="22"/>
        </w:rPr>
        <w:t xml:space="preserve">” has the meaning set forth in </w:t>
      </w:r>
      <w:r>
        <w:rPr>
          <w:rFonts w:ascii="Times New Roman" w:hAnsi="Times New Roman"/>
          <w:color w:val="000000"/>
          <w:sz w:val="22"/>
          <w:u w:val="single"/>
        </w:rPr>
        <w:t>Section 3.8(b)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Fundamental Representations</w:t>
      </w:r>
      <w:r>
        <w:rPr>
          <w:rFonts w:ascii="Times New Roman" w:hAnsi="Times New Roman"/>
          <w:color w:val="000000"/>
          <w:sz w:val="22"/>
        </w:rPr>
        <w:t>” means the representations and warranties made by the Company in Sections 3.1 (Organization and Power), 3.2 (Capitalization), 3.4 (Authorization), 3.5 (Valid Issuance), 3.6 (No Conflict), 3.7 (Consents), 3.8 (SEC Filings; Financial Statements), 3.18 (Nasdaq Stock Market), 3.19 (Sarbanes-Oxley Act), 3.23 (Price Stabilization of Common Stock), 3.24 (Investment Company Act), 3.25 (General Solicitation; No Integration or Aggregation), 3.26 (Brokers and Finders), 3.27 (Reliance by the Investors), 3.28 (No Additional Agreements), 3.29 (Anti-Bribery and Anti-Money Laundering Laws) and 3.33 (Merger Agreement).</w:t>
      </w:r>
    </w:p>
    <w:p>
      <w:pPr>
        <w:pStyle w:val="TextBody"/>
        <w:bidi w:val="0"/>
        <w:spacing w:before="0" w:after="240"/>
        <w:jc w:val="both"/>
        <w:rPr/>
      </w:pPr>
      <w:r>
        <w:rPr>
          <w:color w:val="000000"/>
        </w:rPr>
        <w:t>“</w:t>
      </w:r>
      <w:r>
        <w:rPr>
          <w:rFonts w:ascii="Times New Roman" w:hAnsi="Times New Roman"/>
          <w:b/>
          <w:color w:val="000000"/>
          <w:sz w:val="22"/>
        </w:rPr>
        <w:t>GAAP</w:t>
      </w:r>
      <w:r>
        <w:rPr>
          <w:rFonts w:ascii="Times New Roman" w:hAnsi="Times New Roman"/>
          <w:color w:val="000000"/>
          <w:sz w:val="22"/>
        </w:rPr>
        <w:t xml:space="preserve">” has the meaning set forth in </w:t>
      </w:r>
      <w:r>
        <w:rPr>
          <w:rFonts w:ascii="Times New Roman" w:hAnsi="Times New Roman"/>
          <w:color w:val="000000"/>
          <w:sz w:val="22"/>
          <w:u w:val="single"/>
        </w:rPr>
        <w:t>Section 3.8(b)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Governmental Authorizations</w:t>
      </w:r>
      <w:r>
        <w:rPr>
          <w:rFonts w:ascii="Times New Roman" w:hAnsi="Times New Roman"/>
          <w:color w:val="000000"/>
          <w:sz w:val="22"/>
        </w:rPr>
        <w:t xml:space="preserve">” has the meaning set forth in </w:t>
      </w:r>
      <w:r>
        <w:rPr>
          <w:rFonts w:ascii="Times New Roman" w:hAnsi="Times New Roman"/>
          <w:color w:val="000000"/>
          <w:sz w:val="22"/>
          <w:u w:val="single"/>
        </w:rPr>
        <w:t>Section 3.11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Governmental Body</w:t>
      </w:r>
      <w:r>
        <w:rPr>
          <w:rFonts w:ascii="Times New Roman" w:hAnsi="Times New Roman"/>
          <w:color w:val="000000"/>
          <w:sz w:val="22"/>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240"/>
        <w:jc w:val="both"/>
        <w:rPr/>
      </w:pPr>
      <w:r>
        <w:rPr>
          <w:color w:val="000000"/>
        </w:rPr>
        <w:t>“</w:t>
      </w:r>
      <w:r>
        <w:rPr>
          <w:rFonts w:ascii="Times New Roman" w:hAnsi="Times New Roman"/>
          <w:b/>
          <w:color w:val="000000"/>
          <w:sz w:val="22"/>
        </w:rPr>
        <w:t>HIPAA</w:t>
      </w:r>
      <w:r>
        <w:rPr>
          <w:rFonts w:ascii="Times New Roman" w:hAnsi="Times New Roman"/>
          <w:color w:val="000000"/>
          <w:sz w:val="22"/>
        </w:rPr>
        <w:t xml:space="preserve">” has the meaning set forth in </w:t>
      </w:r>
      <w:r>
        <w:rPr>
          <w:rFonts w:ascii="Times New Roman" w:hAnsi="Times New Roman"/>
          <w:color w:val="000000"/>
          <w:sz w:val="22"/>
          <w:u w:val="single"/>
        </w:rPr>
        <w:t>Section 3.30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Indemnified Person</w:t>
      </w:r>
      <w:r>
        <w:rPr>
          <w:rFonts w:ascii="Times New Roman" w:hAnsi="Times New Roman"/>
          <w:color w:val="000000"/>
          <w:sz w:val="22"/>
        </w:rPr>
        <w:t xml:space="preserve">” has the meaning set forth in </w:t>
      </w:r>
      <w:r>
        <w:rPr>
          <w:rFonts w:ascii="Times New Roman" w:hAnsi="Times New Roman"/>
          <w:color w:val="000000"/>
          <w:sz w:val="22"/>
          <w:u w:val="single"/>
        </w:rPr>
        <w:t>Section 5.9</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Intellectual Property</w:t>
      </w:r>
      <w:r>
        <w:rPr>
          <w:rFonts w:ascii="Times New Roman" w:hAnsi="Times New Roman"/>
          <w:color w:val="000000"/>
          <w:sz w:val="22"/>
        </w:rPr>
        <w:t xml:space="preserve">” has the meaning set forth in </w:t>
      </w:r>
      <w:r>
        <w:rPr>
          <w:rFonts w:ascii="Times New Roman" w:hAnsi="Times New Roman"/>
          <w:color w:val="000000"/>
          <w:sz w:val="22"/>
          <w:u w:val="single"/>
        </w:rPr>
        <w:t>Section 3.12</w:t>
      </w:r>
      <w:r>
        <w:rPr>
          <w:rFonts w:ascii="Times New Roman" w:hAnsi="Times New Roman"/>
          <w:color w:val="000000"/>
          <w:sz w:val="22"/>
        </w:rPr>
        <w:t xml:space="preserve">. </w:t>
      </w:r>
    </w:p>
    <w:p>
      <w:pPr>
        <w:pStyle w:val="TextBody"/>
        <w:bidi w:val="0"/>
        <w:spacing w:before="0" w:after="240"/>
        <w:jc w:val="both"/>
        <w:rPr/>
      </w:pPr>
      <w:r>
        <w:rPr>
          <w:color w:val="000000"/>
        </w:rPr>
        <w:t>“</w:t>
      </w:r>
      <w:r>
        <w:rPr>
          <w:rFonts w:ascii="Times New Roman" w:hAnsi="Times New Roman"/>
          <w:b/>
          <w:color w:val="000000"/>
          <w:sz w:val="22"/>
        </w:rPr>
        <w:t>Intellectual Property Rights</w:t>
      </w:r>
      <w:r>
        <w:rPr>
          <w:rFonts w:ascii="Times New Roman" w:hAnsi="Times New Roman"/>
          <w:color w:val="000000"/>
          <w:sz w:val="22"/>
        </w:rPr>
        <w:t>” means and includes all intellectual property or other proprietary rights under the laws of any jurisdiction in the world, including, without limitation: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(d) patents and industrial property rights; (e) other similar proprietary rights in intellectual property of every kind and nature; (f) rights of publicity; and (g) all registrations, renewals, extensions, statutory invention registrations, provisionals, continuations, continuations-in-part, provisionals, divisions, or reissues of, and applications for, any of the 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 including for past, present or future infringement of any of the foregoing.</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Investor</w:t>
      </w:r>
      <w:r>
        <w:rPr>
          <w:rFonts w:ascii="Times New Roman" w:hAnsi="Times New Roman"/>
          <w:color w:val="000000"/>
          <w:sz w:val="22"/>
        </w:rPr>
        <w:t>” and “</w:t>
      </w:r>
      <w:r>
        <w:rPr>
          <w:rFonts w:ascii="Times New Roman" w:hAnsi="Times New Roman"/>
          <w:b/>
          <w:color w:val="000000"/>
          <w:sz w:val="22"/>
        </w:rPr>
        <w:t>Investors</w:t>
      </w:r>
      <w:r>
        <w:rPr>
          <w:rFonts w:ascii="Times New Roman" w:hAnsi="Times New Roman"/>
          <w:color w:val="000000"/>
          <w:sz w:val="22"/>
        </w:rPr>
        <w:t>” have the meanings set forth in the recitals.</w:t>
      </w:r>
    </w:p>
    <w:p>
      <w:pPr>
        <w:pStyle w:val="TextBody"/>
        <w:bidi w:val="0"/>
        <w:spacing w:before="0" w:after="240"/>
        <w:jc w:val="both"/>
        <w:rPr/>
      </w:pPr>
      <w:r>
        <w:rPr>
          <w:color w:val="000000"/>
        </w:rPr>
        <w:t>“</w:t>
      </w:r>
      <w:r>
        <w:rPr>
          <w:rFonts w:ascii="Times New Roman" w:hAnsi="Times New Roman"/>
          <w:b/>
          <w:color w:val="000000"/>
          <w:sz w:val="22"/>
        </w:rPr>
        <w:t>IT Systems</w:t>
      </w:r>
      <w:r>
        <w:rPr>
          <w:rFonts w:ascii="Times New Roman" w:hAnsi="Times New Roman"/>
          <w:color w:val="000000"/>
          <w:sz w:val="22"/>
        </w:rPr>
        <w:t xml:space="preserve">” has the meaning set forth in </w:t>
      </w:r>
      <w:r>
        <w:rPr>
          <w:rFonts w:ascii="Times New Roman" w:hAnsi="Times New Roman"/>
          <w:color w:val="000000"/>
          <w:sz w:val="22"/>
          <w:u w:val="single"/>
        </w:rPr>
        <w:t>Section 3.30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Majority in Interest of the Investors</w:t>
      </w:r>
      <w:r>
        <w:rPr>
          <w:rFonts w:ascii="Times New Roman" w:hAnsi="Times New Roman"/>
          <w:color w:val="000000"/>
          <w:sz w:val="22"/>
        </w:rPr>
        <w:t>” means (i) prior to the Closing, Investors that have agreed to purchase a majority of the Preferred Shares to be purchased pursuant to this Agreement and (ii) from and after the Closing until the Automatic Conversion (as defined in the Certificate of Designation), Investors that hold a majority of the outstanding Preferred Shares held by all Investors and (iii) from and after the Automatic Conversion, Investors holding a majority of the outstanding Preferred Shares (calculated on an as-converted to Common Stock basis, without regard to the Beneficial Ownership Limitation or any other limitation on conversion of the Preferred Shares) and Conversion Shares held by all Investors.</w:t>
      </w:r>
    </w:p>
    <w:p>
      <w:pPr>
        <w:pStyle w:val="TextBody"/>
        <w:bidi w:val="0"/>
        <w:spacing w:before="0" w:after="240"/>
        <w:jc w:val="both"/>
        <w:rPr/>
      </w:pPr>
      <w:r>
        <w:rPr>
          <w:color w:val="000000"/>
        </w:rPr>
        <w:t>“</w:t>
      </w:r>
      <w:r>
        <w:rPr>
          <w:rFonts w:ascii="Times New Roman" w:hAnsi="Times New Roman"/>
          <w:b/>
          <w:color w:val="000000"/>
          <w:sz w:val="22"/>
        </w:rPr>
        <w:t>Material Adverse Effect</w:t>
      </w:r>
      <w:r>
        <w:rPr>
          <w:rFonts w:ascii="Times New Roman" w:hAnsi="Times New Roman"/>
          <w:color w:val="000000"/>
          <w:sz w:val="22"/>
        </w:rPr>
        <w:t xml:space="preserve">” means any change, event, circumstance, development, condition, occurrence or effect that, individually or in the aggregate, (a) would be materially adverse to the business, financial condition,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or the other Transaction Documents, or with respect to the Closing, or would reasonably be expected to do so;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for purposes of clauses (a) and (b), none of the following will be deemed, either alone or in combination, to constitute, and that none of the following will be taken into account in determining whether there has been or will be, a Material Adverse Effect: (i) any change generally affecting the economy, financial markets or political, economic or regulatory conditions in the United States or any other geographic region in which the Company conducts business, provided that the Company and its Subsidiaries (taken as a whole) are not materially disproportionately affected thereby; (ii) general financial, credit or capital market conditions, including interest rates or exchange rates, or any changes therein, provided that the Company and its Subsidiaries (taken as a whole) are not materially disproportionately affected thereby; (iii) any change that generally affects industries in which the Company and its Subsidiaries conduct business, provided that the Company and its Subsidiaries (taken as a whole) are not materially disproportionately affected thereby; (iv) earthquakes, hurricanes, tsunamis, tornadoes, floods, mudslides, fires or other natural disasters, weather conditions, global pandemics, epidemics or similar health emergencies, and other force majeure events in the United States or any other location, provided that the Company and its Subsidiaries (taken as a whole) are not materially disproportionately affected thereby; (v) national or international political or social conditions (or changes in such conditions), whether or not pursuant to the declaration of a national emergency or war, or the occurrence of any military or terrorist attack, provided that the Company and its Subsidiaries (taken as a whole) are not materially disproportionately affected thereby; (vi) material changes in laws after the date of this Agreement, provided that the Company and its Subsidiaries (taken as a whole) are not materially disproportionately affected thereby; (vii) any material failure by the Company to meet any published or internally prepared estimates of revenues, expenses, earnings or other economic performance for any period ending on or after the date of this Agreement, in each case, in and of itself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any of clauses (i)-(vi) of this definition); and (viii) any change in the Company’s stock price in and of itself (it being understood that the facts and circumstances giving rise to such change may be deemed to constitute, and may be taken into account in determining whether there has been, a Material Adverse Effect to the extent that such facts and circumstances are not otherwise described in any of clauses (i)-(vii) of this definition).</w:t>
      </w:r>
    </w:p>
    <w:p>
      <w:pPr>
        <w:pStyle w:val="TextBody"/>
        <w:bidi w:val="0"/>
        <w:spacing w:before="0" w:after="240"/>
        <w:jc w:val="both"/>
        <w:rPr/>
      </w:pPr>
      <w:r>
        <w:rPr>
          <w:color w:val="000000"/>
        </w:rPr>
        <w:t>“</w:t>
      </w:r>
      <w:r>
        <w:rPr>
          <w:rFonts w:ascii="Times New Roman" w:hAnsi="Times New Roman"/>
          <w:b/>
          <w:color w:val="000000"/>
          <w:sz w:val="22"/>
        </w:rPr>
        <w:t>Nasdaq</w:t>
      </w:r>
      <w:r>
        <w:rPr>
          <w:rFonts w:ascii="Times New Roman" w:hAnsi="Times New Roman"/>
          <w:color w:val="000000"/>
          <w:sz w:val="22"/>
        </w:rPr>
        <w:t>” means the Nasdaq Stock Market LLC.</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National Exchange</w:t>
      </w:r>
      <w:r>
        <w:rPr>
          <w:rFonts w:ascii="Times New Roman" w:hAnsi="Times New Roman"/>
          <w:color w:val="000000"/>
          <w:sz w:val="22"/>
        </w:rPr>
        <w:t>” means any of the following markets or exchanges on which the Common Stock is listed or quoted for trading on the date in question, together with any successor thereto: the NYSE American, The New York Stock Exchange, The Nasdaq Global Market, The Nasdaq Global Select Market or The Nasdaq Capital Market.</w:t>
      </w:r>
    </w:p>
    <w:p>
      <w:pPr>
        <w:pStyle w:val="TextBody"/>
        <w:bidi w:val="0"/>
        <w:spacing w:before="0" w:after="240"/>
        <w:jc w:val="both"/>
        <w:rPr/>
      </w:pPr>
      <w:r>
        <w:rPr>
          <w:color w:val="000000"/>
        </w:rPr>
        <w:t>“</w:t>
      </w:r>
      <w:r>
        <w:rPr>
          <w:rFonts w:ascii="Times New Roman" w:hAnsi="Times New Roman"/>
          <w:b/>
          <w:color w:val="000000"/>
          <w:sz w:val="22"/>
        </w:rPr>
        <w:t>Outside Date</w:t>
      </w:r>
      <w:r>
        <w:rPr>
          <w:rFonts w:ascii="Times New Roman" w:hAnsi="Times New Roman"/>
          <w:color w:val="000000"/>
          <w:sz w:val="22"/>
        </w:rPr>
        <w:t xml:space="preserve">” has the meaning set forth in </w:t>
      </w:r>
      <w:r>
        <w:rPr>
          <w:rFonts w:ascii="Times New Roman" w:hAnsi="Times New Roman"/>
          <w:color w:val="000000"/>
          <w:sz w:val="22"/>
          <w:u w:val="single"/>
        </w:rPr>
        <w:t>Section 2.2(a)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Person</w:t>
      </w:r>
      <w:r>
        <w:rPr>
          <w:rFonts w:ascii="Times New Roman" w:hAnsi="Times New Roman"/>
          <w:color w:val="000000"/>
          <w:sz w:val="22"/>
        </w:rPr>
        <w:t>” means any individual,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or Governmental Body.</w:t>
      </w:r>
    </w:p>
    <w:p>
      <w:pPr>
        <w:pStyle w:val="TextBody"/>
        <w:bidi w:val="0"/>
        <w:spacing w:before="0" w:after="240"/>
        <w:jc w:val="both"/>
        <w:rPr/>
      </w:pPr>
      <w:r>
        <w:rPr>
          <w:color w:val="000000"/>
        </w:rPr>
        <w:t>“</w:t>
      </w:r>
      <w:r>
        <w:rPr>
          <w:rFonts w:ascii="Times New Roman" w:hAnsi="Times New Roman"/>
          <w:b/>
          <w:color w:val="000000"/>
          <w:sz w:val="22"/>
        </w:rPr>
        <w:t>Personal Data</w:t>
      </w:r>
      <w:r>
        <w:rPr>
          <w:rFonts w:ascii="Times New Roman" w:hAnsi="Times New Roman"/>
          <w:color w:val="000000"/>
          <w:sz w:val="22"/>
        </w:rPr>
        <w:t xml:space="preserve">” has the meaning set forth in </w:t>
      </w:r>
      <w:r>
        <w:rPr>
          <w:rFonts w:ascii="Times New Roman" w:hAnsi="Times New Roman"/>
          <w:color w:val="000000"/>
          <w:sz w:val="22"/>
          <w:u w:val="single"/>
        </w:rPr>
        <w:t>Section 3.30.</w:t>
      </w:r>
    </w:p>
    <w:p>
      <w:pPr>
        <w:pStyle w:val="TextBody"/>
        <w:bidi w:val="0"/>
        <w:spacing w:before="0" w:after="240"/>
        <w:jc w:val="both"/>
        <w:rPr/>
      </w:pPr>
      <w:r>
        <w:rPr>
          <w:color w:val="000000"/>
        </w:rPr>
        <w:t>“</w:t>
      </w:r>
      <w:r>
        <w:rPr>
          <w:rFonts w:ascii="Times New Roman" w:hAnsi="Times New Roman"/>
          <w:b/>
          <w:color w:val="000000"/>
          <w:sz w:val="22"/>
        </w:rPr>
        <w:t>Placement Agent</w:t>
      </w:r>
      <w:r>
        <w:rPr>
          <w:rFonts w:ascii="Times New Roman" w:hAnsi="Times New Roman"/>
          <w:color w:val="000000"/>
          <w:sz w:val="20"/>
        </w:rPr>
        <w:t xml:space="preserve">” </w:t>
      </w:r>
      <w:r>
        <w:rPr>
          <w:rFonts w:ascii="Times New Roman" w:hAnsi="Times New Roman"/>
          <w:color w:val="000000"/>
          <w:sz w:val="22"/>
        </w:rPr>
        <w:t>means Jefferies LLC,</w:t>
      </w:r>
      <w:r>
        <w:rPr>
          <w:rFonts w:ascii="Times New Roman" w:hAnsi="Times New Roman"/>
          <w:color w:val="000000"/>
          <w:sz w:val="20"/>
        </w:rPr>
        <w:t xml:space="preserve"> </w:t>
      </w:r>
      <w:r>
        <w:rPr>
          <w:rFonts w:ascii="Times New Roman" w:hAnsi="Times New Roman"/>
          <w:color w:val="000000"/>
          <w:sz w:val="22"/>
        </w:rPr>
        <w:t>TD Securities (USA) LLC, Stifel, Nicolaus &amp; Company, Incorporated and LifeSci Capital LLC..</w:t>
      </w:r>
    </w:p>
    <w:p>
      <w:pPr>
        <w:pStyle w:val="TextBody"/>
        <w:bidi w:val="0"/>
        <w:spacing w:before="0" w:after="240"/>
        <w:jc w:val="both"/>
        <w:rPr/>
      </w:pPr>
      <w:r>
        <w:rPr>
          <w:color w:val="000000"/>
        </w:rPr>
        <w:t>“</w:t>
      </w:r>
      <w:r>
        <w:rPr>
          <w:rFonts w:ascii="Times New Roman" w:hAnsi="Times New Roman"/>
          <w:b/>
          <w:color w:val="000000"/>
          <w:sz w:val="22"/>
        </w:rPr>
        <w:t>Preferred Shares</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Preferred Stock</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Privacy Laws</w:t>
      </w:r>
      <w:r>
        <w:rPr>
          <w:rFonts w:ascii="Times New Roman" w:hAnsi="Times New Roman"/>
          <w:color w:val="000000"/>
          <w:sz w:val="22"/>
        </w:rPr>
        <w:t xml:space="preserve">” has the meaning set forth in </w:t>
      </w:r>
      <w:r>
        <w:rPr>
          <w:rFonts w:ascii="Times New Roman" w:hAnsi="Times New Roman"/>
          <w:color w:val="000000"/>
          <w:sz w:val="22"/>
          <w:u w:val="single"/>
        </w:rPr>
        <w:t>Section 3.31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Privacy Statements</w:t>
      </w:r>
      <w:r>
        <w:rPr>
          <w:rFonts w:ascii="Times New Roman" w:hAnsi="Times New Roman"/>
          <w:color w:val="000000"/>
          <w:sz w:val="22"/>
        </w:rPr>
        <w:t xml:space="preserve">” has the meaning set forth in </w:t>
      </w:r>
      <w:r>
        <w:rPr>
          <w:rFonts w:ascii="Times New Roman" w:hAnsi="Times New Roman"/>
          <w:color w:val="000000"/>
          <w:sz w:val="22"/>
          <w:u w:val="single"/>
        </w:rPr>
        <w:t>Section 3.31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Process</w:t>
      </w:r>
      <w:r>
        <w:rPr>
          <w:rFonts w:ascii="Times New Roman" w:hAnsi="Times New Roman"/>
          <w:color w:val="000000"/>
          <w:sz w:val="22"/>
        </w:rPr>
        <w:t>” or “</w:t>
      </w:r>
      <w:r>
        <w:rPr>
          <w:rFonts w:ascii="Times New Roman" w:hAnsi="Times New Roman"/>
          <w:b/>
          <w:color w:val="000000"/>
          <w:sz w:val="22"/>
        </w:rPr>
        <w:t>Processing</w:t>
      </w:r>
      <w:r>
        <w:rPr>
          <w:rFonts w:ascii="Times New Roman" w:hAnsi="Times New Roman"/>
          <w:color w:val="000000"/>
          <w:sz w:val="22"/>
        </w:rPr>
        <w:t xml:space="preserve">” has the meaning set forth in </w:t>
      </w:r>
      <w:r>
        <w:rPr>
          <w:rFonts w:ascii="Times New Roman" w:hAnsi="Times New Roman"/>
          <w:color w:val="000000"/>
          <w:sz w:val="22"/>
          <w:u w:val="single"/>
        </w:rPr>
        <w:t>Section 3.31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Product Candidate</w:t>
      </w:r>
      <w:r>
        <w:rPr>
          <w:rFonts w:ascii="Times New Roman" w:hAnsi="Times New Roman"/>
          <w:color w:val="000000"/>
          <w:sz w:val="22"/>
        </w:rPr>
        <w:t xml:space="preserve">” has the meaning set forth in </w:t>
      </w:r>
      <w:r>
        <w:rPr>
          <w:rFonts w:ascii="Times New Roman" w:hAnsi="Times New Roman"/>
          <w:color w:val="000000"/>
          <w:sz w:val="22"/>
          <w:u w:val="single"/>
        </w:rPr>
        <w:t>Section 3.20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Registration Rights Agreement</w:t>
      </w:r>
      <w:r>
        <w:rPr>
          <w:rFonts w:ascii="Times New Roman" w:hAnsi="Times New Roman"/>
          <w:color w:val="000000"/>
          <w:sz w:val="22"/>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2"/>
        </w:rPr>
        <w:t>Requisite Stockholder Approval</w:t>
      </w:r>
      <w:r>
        <w:rPr>
          <w:rFonts w:ascii="Times New Roman" w:hAnsi="Times New Roman"/>
          <w:color w:val="000000"/>
          <w:sz w:val="22"/>
        </w:rPr>
        <w:t>” means the approval of the last to be approved of the Parent Stockholder Matters (as defined in the Merger Agreement) at the Stockholders’ Meetings.</w:t>
      </w:r>
    </w:p>
    <w:p>
      <w:pPr>
        <w:pStyle w:val="TextBody"/>
        <w:bidi w:val="0"/>
        <w:spacing w:before="0" w:after="240"/>
        <w:jc w:val="both"/>
        <w:rPr/>
      </w:pPr>
      <w:r>
        <w:rPr>
          <w:color w:val="000000"/>
        </w:rPr>
        <w:t>“</w:t>
      </w:r>
      <w:r>
        <w:rPr>
          <w:rFonts w:ascii="Times New Roman" w:hAnsi="Times New Roman"/>
          <w:b/>
          <w:color w:val="000000"/>
          <w:sz w:val="22"/>
        </w:rPr>
        <w:t>Rule 144</w:t>
      </w:r>
      <w:r>
        <w:rPr>
          <w:rFonts w:ascii="Times New Roman" w:hAnsi="Times New Roman"/>
          <w:color w:val="000000"/>
          <w:sz w:val="22"/>
        </w:rPr>
        <w:t>” means Rule 144 promulgated by the SEC under the Securities Act, as such Rule may be amended from time to time, or any similar rule or regulation hereafter adopted by the SEC having substantially the same effect as such Rule.</w:t>
      </w:r>
    </w:p>
    <w:p>
      <w:pPr>
        <w:pStyle w:val="TextBody"/>
        <w:bidi w:val="0"/>
        <w:spacing w:before="0" w:after="240"/>
        <w:jc w:val="both"/>
        <w:rPr/>
      </w:pPr>
      <w:r>
        <w:rPr>
          <w:color w:val="000000"/>
        </w:rPr>
        <w:t>“</w:t>
      </w:r>
      <w:r>
        <w:rPr>
          <w:rFonts w:ascii="Times New Roman" w:hAnsi="Times New Roman"/>
          <w:b/>
          <w:color w:val="000000"/>
          <w:sz w:val="22"/>
        </w:rPr>
        <w:t>SEC</w:t>
      </w:r>
      <w:r>
        <w:rPr>
          <w:rFonts w:ascii="Times New Roman" w:hAnsi="Times New Roman"/>
          <w:color w:val="000000"/>
          <w:sz w:val="22"/>
        </w:rPr>
        <w:t>” means the U.S. Securities and Exchange Commission.</w:t>
      </w:r>
    </w:p>
    <w:p>
      <w:pPr>
        <w:pStyle w:val="TextBody"/>
        <w:bidi w:val="0"/>
        <w:spacing w:before="0" w:after="240"/>
        <w:jc w:val="both"/>
        <w:rPr/>
      </w:pPr>
      <w:r>
        <w:rPr>
          <w:color w:val="000000"/>
        </w:rPr>
        <w:t>“</w:t>
      </w:r>
      <w:r>
        <w:rPr>
          <w:rFonts w:ascii="Times New Roman" w:hAnsi="Times New Roman"/>
          <w:b/>
          <w:color w:val="000000"/>
          <w:sz w:val="22"/>
        </w:rPr>
        <w:t>SEC Reports</w:t>
      </w:r>
      <w:r>
        <w:rPr>
          <w:rFonts w:ascii="Times New Roman" w:hAnsi="Times New Roman"/>
          <w:color w:val="000000"/>
          <w:sz w:val="22"/>
        </w:rPr>
        <w:t>” means (a) the Company’s most recently filed Annual Report on Form 10-K and (b) all Quarterly Reports on Form 10-Q and Current Reports on Form 8-K filed or furnished (as applicable) by the Company on or after January 1, 2026, in each case together with any documents incorporated by reference therein or exhibits thereto.</w:t>
      </w:r>
    </w:p>
    <w:p>
      <w:pPr>
        <w:pStyle w:val="TextBody"/>
        <w:bidi w:val="0"/>
        <w:spacing w:before="0" w:after="240"/>
        <w:jc w:val="both"/>
        <w:rPr/>
      </w:pPr>
      <w:r>
        <w:rPr>
          <w:color w:val="000000"/>
        </w:rPr>
        <w:t>“</w:t>
      </w:r>
      <w:r>
        <w:rPr>
          <w:rFonts w:ascii="Times New Roman" w:hAnsi="Times New Roman"/>
          <w:b/>
          <w:color w:val="000000"/>
          <w:sz w:val="22"/>
        </w:rPr>
        <w:t>Securities</w:t>
      </w:r>
      <w:r>
        <w:rPr>
          <w:rFonts w:ascii="Times New Roman" w:hAnsi="Times New Roman"/>
          <w:color w:val="000000"/>
          <w:sz w:val="22"/>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2"/>
        </w:rPr>
        <w:t>Securities Act</w:t>
      </w:r>
      <w:r>
        <w:rPr>
          <w:rFonts w:ascii="Times New Roman" w:hAnsi="Times New Roman"/>
          <w:color w:val="000000"/>
          <w:sz w:val="22"/>
        </w:rPr>
        <w:t>” means the U.S. Securities Act of 1933, as amended, and the rules and regulations promulgated thereunder.</w:t>
      </w:r>
    </w:p>
    <w:p>
      <w:pPr>
        <w:pStyle w:val="TextBody"/>
        <w:bidi w:val="0"/>
        <w:spacing w:before="0" w:after="240"/>
        <w:jc w:val="both"/>
        <w:rPr/>
      </w:pPr>
      <w:r>
        <w:rPr>
          <w:color w:val="000000"/>
        </w:rPr>
        <w:t>“</w:t>
      </w:r>
      <w:r>
        <w:rPr>
          <w:rFonts w:ascii="Times New Roman" w:hAnsi="Times New Roman"/>
          <w:b/>
          <w:color w:val="000000"/>
          <w:sz w:val="22"/>
        </w:rPr>
        <w:t>Share Price</w:t>
      </w:r>
      <w:r>
        <w:rPr>
          <w:rFonts w:ascii="Times New Roman" w:hAnsi="Times New Roman"/>
          <w:color w:val="000000"/>
          <w:sz w:val="22"/>
        </w:rPr>
        <w:t>” means $8,574.300.</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Short Sales</w:t>
      </w:r>
      <w:r>
        <w:rPr>
          <w:rFonts w:ascii="Times New Roman" w:hAnsi="Times New Roman"/>
          <w:color w:val="000000"/>
          <w:sz w:val="22"/>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w:t>
      </w:r>
    </w:p>
    <w:p>
      <w:pPr>
        <w:pStyle w:val="TextBody"/>
        <w:bidi w:val="0"/>
        <w:spacing w:before="0" w:after="240"/>
        <w:jc w:val="both"/>
        <w:rPr/>
      </w:pPr>
      <w:r>
        <w:rPr>
          <w:color w:val="000000"/>
        </w:rPr>
        <w:t>“</w:t>
      </w:r>
      <w:r>
        <w:rPr>
          <w:rFonts w:ascii="Times New Roman" w:hAnsi="Times New Roman"/>
          <w:b/>
          <w:color w:val="000000"/>
          <w:sz w:val="22"/>
        </w:rPr>
        <w:t>Stockholders’ Meetings</w:t>
      </w:r>
      <w:r>
        <w:rPr>
          <w:rFonts w:ascii="Times New Roman" w:hAnsi="Times New Roman"/>
          <w:color w:val="000000"/>
          <w:sz w:val="22"/>
        </w:rPr>
        <w:t>” means the First Parent Stockholders’ Meeting (as defined in the Merger Agreement) and the Second Parent Stockholders' Meeting (as defined in the Merger Agreement).</w:t>
      </w:r>
    </w:p>
    <w:p>
      <w:pPr>
        <w:pStyle w:val="TextBody"/>
        <w:bidi w:val="0"/>
        <w:spacing w:before="0" w:after="240"/>
        <w:jc w:val="both"/>
        <w:rPr>
          <w:rFonts w:ascii="Times New Roman" w:hAnsi="Times New Roman"/>
          <w:sz w:val="22"/>
        </w:rPr>
      </w:pPr>
      <w:r>
        <w:rPr>
          <w:rFonts w:ascii="Times New Roman" w:hAnsi="Times New Roman"/>
          <w:color w:val="000000"/>
          <w:sz w:val="22"/>
        </w:rPr>
        <w:t>An entity shall be deemed to be a “</w:t>
      </w:r>
      <w:r>
        <w:rPr>
          <w:rFonts w:ascii="Times New Roman" w:hAnsi="Times New Roman"/>
          <w:b/>
          <w:color w:val="000000"/>
          <w:sz w:val="22"/>
        </w:rPr>
        <w:t>Subsidiary</w:t>
      </w:r>
      <w:r>
        <w:rPr>
          <w:rFonts w:ascii="Times New Roman" w:hAnsi="Times New Roman"/>
          <w:color w:val="000000"/>
          <w:sz w:val="22"/>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 Notwithstanding the foregoing, references herein to any “Subsidiary” or “Subsidiaries” of the Company shall be deemed to consist only of the Company’s Subsidiaries (as defined in the immediately preceding sentence) as of the date of this Agreement and as of immediately prior to the consummation of the transactions contemplated by the Merger Agreement, and shall in no event include Prana or any of its Subsidiaries.</w:t>
      </w:r>
    </w:p>
    <w:p>
      <w:pPr>
        <w:pStyle w:val="TextBody"/>
        <w:bidi w:val="0"/>
        <w:spacing w:before="0" w:after="240"/>
        <w:jc w:val="both"/>
        <w:rPr/>
      </w:pPr>
      <w:r>
        <w:rPr>
          <w:color w:val="000000"/>
        </w:rPr>
        <w:t>“</w:t>
      </w:r>
      <w:r>
        <w:rPr>
          <w:rFonts w:ascii="Times New Roman" w:hAnsi="Times New Roman"/>
          <w:b/>
          <w:color w:val="000000"/>
          <w:sz w:val="22"/>
        </w:rPr>
        <w:t>Tax</w:t>
      </w:r>
      <w:r>
        <w:rPr>
          <w:rFonts w:ascii="Times New Roman" w:hAnsi="Times New Roman"/>
          <w:color w:val="000000"/>
          <w:sz w:val="22"/>
        </w:rPr>
        <w:t>” or “</w:t>
      </w:r>
      <w:r>
        <w:rPr>
          <w:rFonts w:ascii="Times New Roman" w:hAnsi="Times New Roman"/>
          <w:b/>
          <w:color w:val="000000"/>
          <w:sz w:val="22"/>
        </w:rPr>
        <w:t>Taxes</w:t>
      </w:r>
      <w:r>
        <w:rPr>
          <w:rFonts w:ascii="Times New Roman" w:hAnsi="Times New Roman"/>
          <w:color w:val="000000"/>
          <w:sz w:val="22"/>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240"/>
        <w:jc w:val="both"/>
        <w:rPr/>
      </w:pPr>
      <w:r>
        <w:rPr>
          <w:color w:val="000000"/>
        </w:rPr>
        <w:t>“</w:t>
      </w:r>
      <w:r>
        <w:rPr>
          <w:rFonts w:ascii="Times New Roman" w:hAnsi="Times New Roman"/>
          <w:b/>
          <w:color w:val="000000"/>
          <w:sz w:val="22"/>
        </w:rPr>
        <w:t>Tax Returns</w:t>
      </w:r>
      <w:r>
        <w:rPr>
          <w:rFonts w:ascii="Times New Roman" w:hAnsi="Times New Roman"/>
          <w:color w:val="000000"/>
          <w:sz w:val="22"/>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240"/>
        <w:jc w:val="both"/>
        <w:rPr/>
      </w:pPr>
      <w:r>
        <w:rPr>
          <w:color w:val="000000"/>
        </w:rPr>
        <w:t>“</w:t>
      </w:r>
      <w:r>
        <w:rPr>
          <w:rFonts w:ascii="Times New Roman" w:hAnsi="Times New Roman"/>
          <w:b/>
          <w:color w:val="000000"/>
          <w:sz w:val="22"/>
        </w:rPr>
        <w:t>Transaction Documents</w:t>
      </w:r>
      <w:r>
        <w:rPr>
          <w:rFonts w:ascii="Times New Roman" w:hAnsi="Times New Roman"/>
          <w:color w:val="000000"/>
          <w:sz w:val="22"/>
        </w:rPr>
        <w:t>” means this Agreement, the Certificate of Designation, the Warrants and the Registration Rights Agreement, and all exhibits and schedules hereto and thereto and any other documents or agreements executed in connection with the transactions contemplated hereby and thereby. For the avoidance of doubt, neither the Merger Agreement nor any document, agreement, schedule, certificate or instrument executed pursuant to the terms thereof (other than the Certificate of Designation and the Warrants) constitutes a Transaction Document.</w:t>
      </w:r>
    </w:p>
    <w:p>
      <w:pPr>
        <w:pStyle w:val="TextBody"/>
        <w:bidi w:val="0"/>
        <w:spacing w:before="0" w:after="240"/>
        <w:jc w:val="both"/>
        <w:rPr/>
      </w:pPr>
      <w:r>
        <w:rPr>
          <w:color w:val="000000"/>
        </w:rPr>
        <w:t>“</w:t>
      </w:r>
      <w:r>
        <w:rPr>
          <w:rFonts w:ascii="Times New Roman" w:hAnsi="Times New Roman"/>
          <w:b/>
          <w:color w:val="000000"/>
          <w:sz w:val="22"/>
        </w:rPr>
        <w:t>Transfer Agent</w:t>
      </w:r>
      <w:r>
        <w:rPr>
          <w:rFonts w:ascii="Times New Roman" w:hAnsi="Times New Roman"/>
          <w:color w:val="000000"/>
          <w:sz w:val="22"/>
        </w:rPr>
        <w:t>” means, with respect to the Securities, Equiniti Trust Company, LLC or such other financial institution that provides transfer agent services as the Company may engage from time to time.</w:t>
      </w:r>
    </w:p>
    <w:p>
      <w:pPr>
        <w:pStyle w:val="TextBody"/>
        <w:bidi w:val="0"/>
        <w:spacing w:before="0" w:after="240"/>
        <w:jc w:val="both"/>
        <w:rPr/>
      </w:pPr>
      <w:r>
        <w:rPr>
          <w:color w:val="000000"/>
        </w:rPr>
        <w:t>“</w:t>
      </w:r>
      <w:r>
        <w:rPr>
          <w:rFonts w:ascii="Times New Roman" w:hAnsi="Times New Roman"/>
          <w:b/>
          <w:color w:val="000000"/>
          <w:sz w:val="22"/>
        </w:rPr>
        <w:t>Unit</w:t>
      </w:r>
      <w:r>
        <w:rPr>
          <w:rFonts w:ascii="Times New Roman" w:hAnsi="Times New Roman"/>
          <w:color w:val="000000"/>
          <w:sz w:val="22"/>
        </w:rPr>
        <w:t>” means, with respect to each Investor, the Preferred Shares and the corresponding Warrants purchased by such Investor at the Closing pursuant to Section 2.1, no separate consideration being allocated to the Warrants comprising part of such Unit.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Warrant Shares</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Warrants</w:t>
      </w:r>
      <w:r>
        <w:rPr>
          <w:rFonts w:ascii="Times New Roman" w:hAnsi="Times New Roman"/>
          <w:color w:val="000000"/>
          <w:sz w:val="22"/>
        </w:rPr>
        <w:t>” has the meaning set forth in the recitals hereof.</w:t>
      </w:r>
    </w:p>
    <w:p>
      <w:pPr>
        <w:pStyle w:val="TextBody"/>
        <w:bidi w:val="0"/>
        <w:spacing w:before="0" w:after="24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u w:val="single"/>
        </w:rPr>
        <w:t>Purchase and Sale of Securities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2.1</w:t>
      </w:r>
      <w:r>
        <w:rPr>
          <w:rFonts w:ascii="Times New Roman" w:hAnsi="Times New Roman"/>
          <w:color w:val="000000"/>
          <w:sz w:val="20"/>
        </w:rPr>
        <w:t xml:space="preserve"> </w:t>
      </w:r>
      <w:r>
        <w:rPr>
          <w:rFonts w:ascii="Times New Roman" w:hAnsi="Times New Roman"/>
          <w:color w:val="000000"/>
          <w:sz w:val="22"/>
          <w:u w:val="single"/>
        </w:rPr>
        <w:t>Purchase and Sale</w:t>
      </w:r>
      <w:r>
        <w:rPr>
          <w:rFonts w:ascii="Times New Roman" w:hAnsi="Times New Roman"/>
          <w:color w:val="000000"/>
          <w:sz w:val="22"/>
        </w:rPr>
        <w:t xml:space="preserve">. On the Closing Date, upon the terms and subject to the conditions set forth herein, the Company agrees to sell to each Investor, and each Investor, severally and not jointly, agrees to purchase from the Company, the number of shares of Preferred Stock and the corresponding Warrants (together, a “Unit”), for the aggregate purchase price, set forth opposite such Investor’s name on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(such amount, with respect to each Investor, its “</w:t>
      </w:r>
      <w:r>
        <w:rPr>
          <w:rFonts w:ascii="Times New Roman" w:hAnsi="Times New Roman"/>
          <w:b/>
          <w:color w:val="000000"/>
          <w:sz w:val="22"/>
        </w:rPr>
        <w:t>Aggregate Purchase Price</w:t>
      </w:r>
      <w:r>
        <w:rPr>
          <w:rFonts w:ascii="Times New Roman" w:hAnsi="Times New Roman"/>
          <w:color w:val="000000"/>
          <w:sz w:val="20"/>
        </w:rPr>
        <w:t>”</w:t>
      </w:r>
      <w:r>
        <w:rPr>
          <w:rFonts w:ascii="Times New Roman" w:hAnsi="Times New Roman"/>
          <w:color w:val="000000"/>
          <w:sz w:val="22"/>
        </w:rPr>
        <w:t>). The purchase price per Preferred Share shall be equal to the Share Price, and no separate consideration shall be allocated to or payable in respect of the Warrants comprising part of each Unit.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2.2</w:t>
      </w:r>
      <w:r>
        <w:rPr>
          <w:rFonts w:ascii="Times New Roman" w:hAnsi="Times New Roman"/>
          <w:color w:val="000000"/>
          <w:sz w:val="20"/>
        </w:rPr>
        <w:t xml:space="preserve"> </w:t>
      </w:r>
      <w:r>
        <w:rPr>
          <w:rFonts w:ascii="Times New Roman" w:hAnsi="Times New Roman"/>
          <w:color w:val="000000"/>
          <w:sz w:val="22"/>
          <w:u w:val="single"/>
        </w:rPr>
        <w:t>Closing</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Subject to the satisfaction or waiver of the conditions set forth in </w:t>
      </w:r>
      <w:r>
        <w:rPr>
          <w:rFonts w:ascii="Times New Roman" w:hAnsi="Times New Roman"/>
          <w:color w:val="000000"/>
          <w:sz w:val="22"/>
          <w:u w:val="single"/>
        </w:rPr>
        <w:t>Section 6.1</w:t>
      </w:r>
      <w:r>
        <w:rPr>
          <w:rFonts w:ascii="Times New Roman" w:hAnsi="Times New Roman"/>
          <w:color w:val="000000"/>
          <w:sz w:val="22"/>
        </w:rPr>
        <w:t>, the closing of the purchase and sale of the Preferred Shares (the “</w:t>
      </w:r>
      <w:r>
        <w:rPr>
          <w:rFonts w:ascii="Times New Roman" w:hAnsi="Times New Roman"/>
          <w:b/>
          <w:color w:val="000000"/>
          <w:sz w:val="22"/>
        </w:rPr>
        <w:t>Closing</w:t>
      </w:r>
      <w:r>
        <w:rPr>
          <w:rFonts w:ascii="Times New Roman" w:hAnsi="Times New Roman"/>
          <w:color w:val="000000"/>
          <w:sz w:val="20"/>
        </w:rPr>
        <w:t>”</w:t>
      </w:r>
      <w:r>
        <w:rPr>
          <w:rFonts w:ascii="Times New Roman" w:hAnsi="Times New Roman"/>
          <w:color w:val="000000"/>
          <w:sz w:val="22"/>
        </w:rPr>
        <w:t>) shall occur remotely via the exchange of documents and signatures on the first (1st) Business Day following the closing date of the Merger or such other date as the Company and a Majority in Interest of the Investors shall mutually agree (the “</w:t>
      </w:r>
      <w:r>
        <w:rPr>
          <w:rFonts w:ascii="Times New Roman" w:hAnsi="Times New Roman"/>
          <w:b/>
          <w:color w:val="000000"/>
          <w:sz w:val="22"/>
        </w:rPr>
        <w:t>Closing Date</w:t>
      </w:r>
      <w:r>
        <w:rPr>
          <w:rFonts w:ascii="Times New Roman" w:hAnsi="Times New Roman"/>
          <w:color w:val="000000"/>
          <w:sz w:val="20"/>
        </w:rPr>
        <w:t>”</w:t>
      </w:r>
      <w:r>
        <w:rPr>
          <w:rFonts w:ascii="Times New Roman" w:hAnsi="Times New Roman"/>
          <w:color w:val="000000"/>
          <w:sz w:val="22"/>
        </w:rPr>
        <w:t>), but in no event later than the fifth (5th) Business Day after the date of this Agreement (the “</w:t>
      </w:r>
      <w:r>
        <w:rPr>
          <w:rFonts w:ascii="Times New Roman" w:hAnsi="Times New Roman"/>
          <w:b/>
          <w:color w:val="000000"/>
          <w:sz w:val="22"/>
        </w:rPr>
        <w:t>Outside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At the Closing, each Investor shall (i) pay to the Company, by wire transfer of immediately available funds in accordance with wire instructions provided by the Company to the Investors, such Investor’s Aggregate Purchase Price and (ii) deliver to the Company any other information that is reasonably requested by the Company in order to enable the Company (or the Transfer Agent) to issue, sell and deliver such Investor’s Preferred Shares, including, without limitation, the legal name of the person (or nominee) in whose name such Preferred Shares are to be issued and a duly executed Internal Revenue Service Form W-9 or W-8, as applicable.</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On the Closing Date, the Preferred Shares issuable to each Investor shall be issued and registered in the name of such Investor, or in such nominee name(s) as designated by such Investor, representing the number of Preferred Shares to be purchased by such Investor at such Closing as set forth in </w:t>
      </w:r>
      <w:r>
        <w:rPr>
          <w:rFonts w:ascii="Times New Roman" w:hAnsi="Times New Roman"/>
          <w:color w:val="000000"/>
          <w:sz w:val="22"/>
          <w:u w:val="single"/>
        </w:rPr>
        <w:t>Exhibit A</w:t>
      </w:r>
      <w:r>
        <w:rPr>
          <w:rFonts w:ascii="Times New Roman" w:hAnsi="Times New Roman"/>
          <w:color w:val="000000"/>
          <w:sz w:val="22"/>
        </w:rPr>
        <w:t xml:space="preserve">. On the Closing Date, the Company will cause the Transfer Agent to issue to each Investor such Investor’s Preferred Shares (against payment therefor) in book-entry form, free and clear of all restrictive and other legends (except as expressly provided in </w:t>
      </w:r>
      <w:r>
        <w:rPr>
          <w:rFonts w:ascii="Times New Roman" w:hAnsi="Times New Roman"/>
          <w:color w:val="000000"/>
          <w:sz w:val="22"/>
          <w:u w:val="single"/>
        </w:rPr>
        <w:t>Section 4.10</w:t>
      </w:r>
      <w:r>
        <w:rPr>
          <w:rFonts w:ascii="Times New Roman" w:hAnsi="Times New Roman"/>
          <w:color w:val="000000"/>
          <w:sz w:val="20"/>
        </w:rPr>
        <w:t xml:space="preserve"> </w:t>
      </w:r>
      <w:r>
        <w:rPr>
          <w:rFonts w:ascii="Times New Roman" w:hAnsi="Times New Roman"/>
          <w:color w:val="000000"/>
          <w:sz w:val="22"/>
        </w:rPr>
        <w:t xml:space="preserve">hereof), and the Company shall, or shall cause the Company’s Transfer Agent to, provide evidence of such issuance on or as soon as reasonably practical following the Closing Date to each Investor. On the Closing Date, the Company will also deliver to each Investor the Warrants registered in the name of such Investor, or in such nominee name(s) as designated by such Investor, representing the number of Warrant Shares issuable to such Investor as set forth in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If the Closing has not occurred prior to the Outside Date, unless otherwise agreed by the Company and such Investor, the Company shall promptly (but no later than one (1) Business Day following the Outside Date) return any Aggregate Purchase Price previously wired by an Investor to such Investor by wire transfer of immediately available funds to the account specified by such Investor, and (ii) any book entries for the Preferred Shares shall be deemed cancelled; </w:t>
      </w:r>
      <w:r>
        <w:rPr>
          <w:rFonts w:ascii="Times New Roman" w:hAnsi="Times New Roman"/>
          <w:i/>
          <w:color w:val="000000"/>
          <w:sz w:val="22"/>
        </w:rPr>
        <w:t>provided</w:t>
      </w:r>
      <w:r>
        <w:rPr>
          <w:rFonts w:ascii="Times New Roman" w:hAnsi="Times New Roman"/>
          <w:color w:val="000000"/>
          <w:sz w:val="22"/>
        </w:rPr>
        <w:t xml:space="preserve">that, unless this Agreement has been terminated pursuant to </w:t>
      </w:r>
      <w:r>
        <w:rPr>
          <w:rFonts w:ascii="Times New Roman" w:hAnsi="Times New Roman"/>
          <w:color w:val="000000"/>
          <w:sz w:val="22"/>
          <w:u w:val="single"/>
        </w:rPr>
        <w:t>Section 7</w:t>
      </w:r>
      <w:r>
        <w:rPr>
          <w:rFonts w:ascii="Times New Roman" w:hAnsi="Times New Roman"/>
          <w:color w:val="000000"/>
          <w:sz w:val="22"/>
        </w:rPr>
        <w:t>, such return of funds (if any) shall not terminate this Agreement or relieve such Investor of its obligation to purchase, or the Company of its obligation to issue and sell, the Preferred Shares at the Closing.</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 xml:space="preserve">Notwithstanding the foregoing and anything in this Agreement to the contrary, (i) the Company may amend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following the Closing, without the consent of the other parties hereto, to reflect the number of Preferred Shares actually purchased and the Aggregate Purchase Price paid at the Closing in accordance with </w:t>
      </w:r>
      <w:r>
        <w:rPr>
          <w:rFonts w:ascii="Times New Roman" w:hAnsi="Times New Roman"/>
          <w:color w:val="000000"/>
          <w:sz w:val="22"/>
          <w:u w:val="single"/>
        </w:rPr>
        <w:t>Section 2.1</w:t>
      </w:r>
      <w:r>
        <w:rPr>
          <w:rFonts w:ascii="Times New Roman" w:hAnsi="Times New Roman"/>
          <w:color w:val="000000"/>
          <w:sz w:val="22"/>
        </w:rPr>
        <w:t xml:space="preserve">, in each case, by each such applicable Investor, and shall promptly provide such updated </w:t>
      </w:r>
      <w:r>
        <w:rPr>
          <w:rFonts w:ascii="Times New Roman" w:hAnsi="Times New Roman"/>
          <w:color w:val="000000"/>
          <w:sz w:val="22"/>
          <w:u w:val="single"/>
        </w:rPr>
        <w:t xml:space="preserve">Exhibit </w:t>
      </w:r>
      <w:r>
        <w:rPr>
          <w:rFonts w:ascii="Times New Roman" w:hAnsi="Times New Roman"/>
          <w:color w:val="000000"/>
          <w:sz w:val="22"/>
        </w:rPr>
        <w:t>A to any Investor upon such Investor’s request, and (ii) if requested by an Investor that is (a) an investment company registered under the Investment Company Act of 1940, as amended, (b) advised by an investment advisor subject to regulation under the Investment Advisers Act of 1940, as amended, or (c) otherwise subject to bona fide internal policies and/or procedures that prohibit such Investor from delivering subscription funds prior to its (or a qualified custodian’s) receipt of securities, the Company may permit such Investor to wire its Aggregate Purchase Price following its receipt of evidence of the issuance of such Investor’s Preferred Shares as of the Closing Date from the Transfer Agent in form and substance reasonably acceptable to such Investor.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color w:val="000000"/>
          <w:sz w:val="22"/>
          <w:u w:val="single"/>
        </w:rPr>
        <w:t>Representations and Warranties of the Company</w:t>
      </w:r>
      <w:r>
        <w:rPr>
          <w:rFonts w:ascii="Times New Roman" w:hAnsi="Times New Roman"/>
          <w:color w:val="000000"/>
          <w:sz w:val="22"/>
        </w:rPr>
        <w:t xml:space="preserve">. Except as set forth in the SEC Reports (other than as to the Fundamental Representations, which are not so qualified), the Company hereby represents and warrants to each of the Investors and the Placement Agent that the statements contained in this </w:t>
      </w:r>
      <w:r>
        <w:rPr>
          <w:rFonts w:ascii="Times New Roman" w:hAnsi="Times New Roman"/>
          <w:color w:val="000000"/>
          <w:sz w:val="22"/>
          <w:u w:val="single"/>
        </w:rPr>
        <w:t>Section 3</w:t>
      </w:r>
      <w:r>
        <w:rPr>
          <w:rFonts w:ascii="Times New Roman" w:hAnsi="Times New Roman"/>
          <w:color w:val="000000"/>
          <w:sz w:val="20"/>
        </w:rPr>
        <w:t xml:space="preserve"> </w:t>
      </w:r>
      <w:r>
        <w:rPr>
          <w:rFonts w:ascii="Times New Roman" w:hAnsi="Times New Roman"/>
          <w:color w:val="000000"/>
          <w:sz w:val="22"/>
        </w:rPr>
        <w:t>are true and correct as of the date of this Agreement and as of the Closing Date (except for the representations and warranties that speak as of a specific date, which shall be made as of such date).</w:t>
      </w:r>
    </w:p>
    <w:p>
      <w:pPr>
        <w:pStyle w:val="TextBody"/>
        <w:bidi w:val="0"/>
        <w:spacing w:before="0" w:after="240"/>
        <w:jc w:val="both"/>
        <w:rPr>
          <w:rFonts w:ascii="Times New Roman" w:hAnsi="Times New Roman"/>
          <w:sz w:val="20"/>
        </w:rPr>
      </w:pPr>
      <w:r>
        <w:rPr>
          <w:rFonts w:ascii="Times New Roman" w:hAnsi="Times New Roman"/>
          <w:color w:val="000000"/>
          <w:sz w:val="22"/>
        </w:rPr>
        <w:t>3.1</w:t>
      </w:r>
      <w:r>
        <w:rPr>
          <w:rFonts w:ascii="Times New Roman" w:hAnsi="Times New Roman"/>
          <w:color w:val="000000"/>
          <w:sz w:val="20"/>
        </w:rPr>
        <w:t xml:space="preserve"> </w:t>
      </w:r>
      <w:r>
        <w:rPr>
          <w:rFonts w:ascii="Times New Roman" w:hAnsi="Times New Roman"/>
          <w:color w:val="000000"/>
          <w:sz w:val="22"/>
          <w:u w:val="single"/>
        </w:rPr>
        <w:t>Organization and Power</w:t>
      </w:r>
      <w:r>
        <w:rPr>
          <w:rFonts w:ascii="Times New Roman" w:hAnsi="Times New Roman"/>
          <w:color w:val="000000"/>
          <w:sz w:val="22"/>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result in a Material Adverse Effect. Each of the Company’s Subsidiaries is (i) directly or indirectly wholly owned by the Company, (ii) duly incorporated, formed or organized (as applicable) and validly existing and in good standing under the laws of the jurisdiction of its incorporation, formation or organization and has the requisite power and authority to carry on its business as now conducted and to own or lease its properties and (iii) qualified to do business as a foreign corporation, limited liability company or other entity and in good standing in each jurisdiction in which the character of its properties or the nature of its business requires such qualification, except in each case as would not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3.2</w:t>
      </w:r>
      <w:r>
        <w:rPr>
          <w:rFonts w:ascii="Times New Roman" w:hAnsi="Times New Roman"/>
          <w:color w:val="000000"/>
          <w:sz w:val="20"/>
        </w:rPr>
        <w:t xml:space="preserve"> </w:t>
      </w:r>
      <w:r>
        <w:rPr>
          <w:rFonts w:ascii="Times New Roman" w:hAnsi="Times New Roman"/>
          <w:color w:val="000000"/>
          <w:sz w:val="22"/>
          <w:u w:val="single"/>
        </w:rPr>
        <w:t>Capitalization</w:t>
      </w:r>
      <w:r>
        <w:rPr>
          <w:rFonts w:ascii="Times New Roman" w:hAnsi="Times New Roman"/>
          <w:color w:val="000000"/>
          <w:sz w:val="22"/>
        </w:rPr>
        <w:t>. The authorized capital stock of the Company consists of 200,000,000 shares of Common Stock and 10,000,000 shares of preferred stock, par value $0.00001 per share. As of immediately prior to the date hereof (and prior to the closing of the Merger), none of the Company’s authorized preferred stock is issued or outstanding.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laws and any rights of third parties. Except as set forth in the Transaction Documents or in the Merger Agreement (including the issuance of shares of Preferred Stock and Warrants and the assumption of options and other obligations in respect of equity awards thereunder) or as disclosed in the SEC Reports, there are no outstanding rights (including pre-emptive rights or other similar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w:t>
      </w:r>
    </w:p>
    <w:p>
      <w:pPr>
        <w:pStyle w:val="TextBody"/>
        <w:bidi w:val="0"/>
        <w:spacing w:before="0" w:after="240"/>
        <w:jc w:val="both"/>
        <w:rPr>
          <w:rFonts w:ascii="Times New Roman" w:hAnsi="Times New Roman"/>
          <w:sz w:val="20"/>
        </w:rPr>
      </w:pPr>
      <w:r>
        <w:rPr>
          <w:rFonts w:ascii="Times New Roman" w:hAnsi="Times New Roman"/>
          <w:color w:val="000000"/>
          <w:sz w:val="22"/>
        </w:rPr>
        <w:t>3.3</w:t>
      </w:r>
      <w:r>
        <w:rPr>
          <w:rFonts w:ascii="Times New Roman" w:hAnsi="Times New Roman"/>
          <w:color w:val="000000"/>
          <w:sz w:val="20"/>
        </w:rPr>
        <w:t xml:space="preserve"> </w:t>
      </w:r>
      <w:r>
        <w:rPr>
          <w:rFonts w:ascii="Times New Roman" w:hAnsi="Times New Roman"/>
          <w:color w:val="000000"/>
          <w:sz w:val="22"/>
          <w:u w:val="single"/>
        </w:rPr>
        <w:t>Registration Rights</w:t>
      </w:r>
      <w:r>
        <w:rPr>
          <w:rFonts w:ascii="Times New Roman" w:hAnsi="Times New Roman"/>
          <w:color w:val="000000"/>
          <w:sz w:val="22"/>
        </w:rPr>
        <w:t>. Except as set forth in the Transaction Documents or in the Merger Agreement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pStyle w:val="TextBody"/>
        <w:bidi w:val="0"/>
        <w:spacing w:before="0" w:after="240"/>
        <w:jc w:val="both"/>
        <w:rPr>
          <w:rFonts w:ascii="Times New Roman" w:hAnsi="Times New Roman"/>
          <w:sz w:val="20"/>
        </w:rPr>
      </w:pPr>
      <w:r>
        <w:rPr>
          <w:rFonts w:ascii="Times New Roman" w:hAnsi="Times New Roman"/>
          <w:color w:val="000000"/>
          <w:sz w:val="22"/>
        </w:rPr>
        <w:t>3.4</w:t>
      </w:r>
      <w:r>
        <w:rPr>
          <w:rFonts w:ascii="Times New Roman" w:hAnsi="Times New Roman"/>
          <w:color w:val="000000"/>
          <w:sz w:val="20"/>
        </w:rPr>
        <w:t xml:space="preserve"> </w:t>
      </w:r>
      <w:r>
        <w:rPr>
          <w:rFonts w:ascii="Times New Roman" w:hAnsi="Times New Roman"/>
          <w:color w:val="000000"/>
          <w:sz w:val="22"/>
          <w:u w:val="single"/>
        </w:rPr>
        <w:t>Authorization</w:t>
      </w:r>
      <w:r>
        <w:rPr>
          <w:rFonts w:ascii="Times New Roman" w:hAnsi="Times New Roman"/>
          <w:color w:val="000000"/>
          <w:sz w:val="22"/>
        </w:rPr>
        <w:t>. The Company has all requisite corporate power and authority to enter into the Transaction Documents and to carry out and perform its obligations under the terms of the Transaction Documents, including the issuance and sale of the Preferred Shares, the Warrants and the Conversion Shares. Except for the Requisite Stockholder Approval and the filing and effectiveness of the Certificate of Designation and the filing and approval of the Nasdaq Listing Application (as defined in the Merger Agreement) (if necessary), all corporate action on the part of the Company, its officers, directors and stockholders necessary for the authorization of the Preferred Shares, the Warrants, the Warrant Shares and the Conversion Shares and the authorization, execution, delivery and performance of the Transaction Documents and the consummation of the transactions contemplated hereby, including the issuance and sale of the Preferred Shares and the Warrants and (subject to receipt of the Requisite Stockholder Approval and approval of the Nasdaq Listing Application (if necessary)) the Conversion Shares (including the reservation thereof) has been taken, including, without limitation, the approval of the Board of Directors or a committee thereof in accordance with Section 144(a)(1) or 144(b)(1) of the DGCL. This Agreement has been duly executed and delivered by the Company and, assuming the due authorization, execution and delivery by each Investor of this Agreement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pStyle w:val="TextBody"/>
        <w:bidi w:val="0"/>
        <w:spacing w:before="0" w:after="240"/>
        <w:jc w:val="both"/>
        <w:rPr>
          <w:rFonts w:ascii="Times New Roman" w:hAnsi="Times New Roman"/>
          <w:sz w:val="20"/>
        </w:rPr>
      </w:pPr>
      <w:r>
        <w:rPr>
          <w:rFonts w:ascii="Times New Roman" w:hAnsi="Times New Roman"/>
          <w:color w:val="000000"/>
          <w:sz w:val="22"/>
        </w:rPr>
        <w:t>3.5</w:t>
      </w:r>
      <w:r>
        <w:rPr>
          <w:rFonts w:ascii="Times New Roman" w:hAnsi="Times New Roman"/>
          <w:color w:val="000000"/>
          <w:sz w:val="20"/>
        </w:rPr>
        <w:t xml:space="preserve"> </w:t>
      </w:r>
      <w:r>
        <w:rPr>
          <w:rFonts w:ascii="Times New Roman" w:hAnsi="Times New Roman"/>
          <w:color w:val="000000"/>
          <w:sz w:val="22"/>
          <w:u w:val="single"/>
        </w:rPr>
        <w:t>Valid Issuance</w:t>
      </w:r>
      <w:r>
        <w:rPr>
          <w:rFonts w:ascii="Times New Roman" w:hAnsi="Times New Roman"/>
          <w:color w:val="000000"/>
          <w:sz w:val="22"/>
        </w:rPr>
        <w:t>. Subject to the filing of the Certificate of Designation with the Secretary of State of the State of Delaware and the effectiveness thereof, the Preferred Shares and the Warrants being purchased by the Investors hereunder have been duly and validly authorized and, when issued pursuant to the terms of this Agreement against full payment therefor in accordance with the terms of this Agreement, will be duly and validly issued, fully paid and non-assessable and will be issued free and clear of any liens or other restrictions (other than as provided in the Transaction Documents, and restrictions on transfer under applicable state and federal securities laws), and the holder of the Preferred Shares shall be entitled to all rights accorded to a holder of Preferred Stock. The Warrant Shares issuable upon exercise of the Warrants have been duly and validly authorized and, upon issuance upon exercise of the Warrants and payment of the exercise price in full in accordance with the terms thereof, will be duly and validly issued, fully paid and non-assessable and will be issued free and clear of any liens or other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restrictions (other than as provided in the Transaction Documents, and restrictions on transfer under applicable state and federal securities laws), and the holder of such Warrant Shares shall be entitled to all rights accorded to a holder of Preferred Stock. Subject to the filing of the Certificate of Designation with the Secretary of State of the State of Delaware and the effectiveness thereof and receipt of the Requisite Stockholder Approval and approval of the Nasdaq Listing Application (if necessary), the Conversion Shares will, upon issuance in accordance with the Certificate of Designation, be duly and validly authorized and, upon issuance pursuant to the terms of the Certificate of Designation, will be duly and validly issued, fully paid and non-assessable and will be issued free and clear of any liens or other restrictions (other than as provided in the Transaction Documents, and restrictions on transfer under applicable state and federal securities laws), and the holder of Conversion Shares will be entitled to all rights accorded to a holder of Common Stock. The issuance and delivery of the Securities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color w:val="000000"/>
          <w:sz w:val="22"/>
          <w:u w:val="single"/>
        </w:rPr>
        <w:t>Section 4</w:t>
      </w:r>
      <w:r>
        <w:rPr>
          <w:rFonts w:ascii="Times New Roman" w:hAnsi="Times New Roman"/>
          <w:color w:val="000000"/>
          <w:sz w:val="22"/>
        </w:rPr>
        <w:t>, the offer and sale of the Securities to the Investors is, and will be, (i) exempt from the registration and prospectus delivery requirements of the Securities Act and (ii) exempt from (or otherwise not subject to) the registration and qualification requirements of applicable securities laws of the states of the United States.</w:t>
      </w:r>
    </w:p>
    <w:p>
      <w:pPr>
        <w:pStyle w:val="TextBody"/>
        <w:bidi w:val="0"/>
        <w:spacing w:before="0" w:after="240"/>
        <w:jc w:val="both"/>
        <w:rPr>
          <w:rFonts w:ascii="Times New Roman" w:hAnsi="Times New Roman"/>
          <w:sz w:val="20"/>
        </w:rPr>
      </w:pPr>
      <w:r>
        <w:rPr>
          <w:rFonts w:ascii="Times New Roman" w:hAnsi="Times New Roman"/>
          <w:color w:val="000000"/>
          <w:sz w:val="22"/>
        </w:rPr>
        <w:t>3.6</w:t>
      </w:r>
      <w:r>
        <w:rPr>
          <w:rFonts w:ascii="Times New Roman" w:hAnsi="Times New Roman"/>
          <w:color w:val="000000"/>
          <w:sz w:val="20"/>
        </w:rPr>
        <w:t xml:space="preserve"> </w:t>
      </w:r>
      <w:r>
        <w:rPr>
          <w:rFonts w:ascii="Times New Roman" w:hAnsi="Times New Roman"/>
          <w:color w:val="000000"/>
          <w:sz w:val="22"/>
          <w:u w:val="single"/>
        </w:rPr>
        <w:t>No Conflict</w:t>
      </w:r>
      <w:r>
        <w:rPr>
          <w:rFonts w:ascii="Times New Roman" w:hAnsi="Times New Roman"/>
          <w:color w:val="000000"/>
          <w:sz w:val="22"/>
        </w:rPr>
        <w:t>. Subject to the filing and approval of the Nasdaq Listing Application (as defined in the Merger Agreement), if necessary, and the filing and effectiveness of the Certificate of Designation, the execution, delivery and performance of the Transaction Documents by the Company, the issuance and sale of the Securities (including the Warrants), and the consummation of the other transactions contemplated by the Transaction Documents, do not and will not (in the case of the issuance of any Conversion Shares, subject to receipt of the Requisite Stockholder Approval): (i) violate any provision of the Amended and Restated Certificate of Incorporation or Amended and Restated Bylaws of the 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(iii) result in a violation of any law, rule, regulation, order, judgment, injunction, decree or other restriction of any court or governmental authority to which the Company or any of its Subsidiaries is subject (including federal and state securities laws and regulations) or the rules and regulations of Nasdaq, or any other self-regulatory organization to which the Company, its Subsidiaries or any of their respective securities, assets or properties is bound or affected, or (iv) conflict with, result in a breach of, or require any consent, approval, authorization or waiver under the Merger Agreement that has not been obtained or made, except, in the case of clauses (ii), (iii) and (iv), as would not, individually or in the aggregate, be reasonably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3.7</w:t>
      </w:r>
      <w:r>
        <w:rPr>
          <w:rFonts w:ascii="Times New Roman" w:hAnsi="Times New Roman"/>
          <w:color w:val="000000"/>
          <w:sz w:val="20"/>
        </w:rPr>
        <w:t xml:space="preserve"> </w:t>
      </w:r>
      <w:r>
        <w:rPr>
          <w:rFonts w:ascii="Times New Roman" w:hAnsi="Times New Roman"/>
          <w:color w:val="000000"/>
          <w:sz w:val="22"/>
          <w:u w:val="single"/>
        </w:rPr>
        <w:t>Consents</w:t>
      </w:r>
      <w:r>
        <w:rPr>
          <w:rFonts w:ascii="Times New Roman" w:hAnsi="Times New Roman"/>
          <w:color w:val="000000"/>
          <w:sz w:val="22"/>
        </w:rPr>
        <w:t xml:space="preserve">. Assuming the accuracy of the representations and warranties of each Investor set forth in </w:t>
      </w:r>
      <w:r>
        <w:rPr>
          <w:rFonts w:ascii="Times New Roman" w:hAnsi="Times New Roman"/>
          <w:color w:val="000000"/>
          <w:sz w:val="22"/>
          <w:u w:val="single"/>
        </w:rPr>
        <w:t>Section 4</w:t>
      </w:r>
      <w:r>
        <w:rPr>
          <w:rFonts w:ascii="Times New Roman" w:hAnsi="Times New Roman"/>
          <w:color w:val="000000"/>
          <w:sz w:val="22"/>
        </w:rPr>
        <w:t>, no consent, approval, authorization, filing with or order of or registration with, any court or governmental agency or body is required in connection with the authorization, execution or delivery by the Company of the Transaction Documents, the issuance and sale of the Securities (including the Warrants) and the performance by the Company of its other obligations under the Transaction Documents, except (a) as have been or will be obtained or made under the Securities Act or the Exchange Act, including any filing with the SEC of one or more Current Reports on Form 8-K, (b) the filing of any requisite notices and/or application(s) to, and the approval thereof by, if applicable, the National Exchange (x) for the issuance and sale of the Preferred Shares and the listing of the Conversion Shares for trading or quotation, as the case may be, thereon in the time and manner required thereby, and (y) in connection with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obtaining the Requisite Stockholder Approval, including, if necessary, the Nasdaq Listing Application, (c) customary post-closing filings with the SEC or pursuant to state securities laws in connection with the offer and sale of the Securities by the Company in the manner contemplated herein, which will be filed on a timely basis, (d) the filings required pursuant to the Registration Rights Agreement, (e) the Requisite Stockholder Approval and any filings with the SEC in connection therewith (including in connection with the Stockholders’ Meetings), (f) the filing of the Certificate of Designation with the Secretary of State of the State of Delaware, (g) those required to consummate the Merger, as contemplated by the Merger Agreement, and (h) such that the failure of which to obtain would not reasonably be expected to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240"/>
        <w:jc w:val="both"/>
        <w:rPr>
          <w:rFonts w:ascii="Times New Roman" w:hAnsi="Times New Roman"/>
          <w:sz w:val="20"/>
        </w:rPr>
      </w:pPr>
      <w:r>
        <w:rPr>
          <w:rFonts w:ascii="Times New Roman" w:hAnsi="Times New Roman"/>
          <w:color w:val="000000"/>
          <w:sz w:val="22"/>
        </w:rPr>
        <w:t>3.8</w:t>
      </w:r>
      <w:r>
        <w:rPr>
          <w:rFonts w:ascii="Times New Roman" w:hAnsi="Times New Roman"/>
          <w:color w:val="000000"/>
          <w:sz w:val="20"/>
        </w:rPr>
        <w:t xml:space="preserve"> </w:t>
      </w:r>
      <w:r>
        <w:rPr>
          <w:rFonts w:ascii="Times New Roman" w:hAnsi="Times New Roman"/>
          <w:color w:val="000000"/>
          <w:sz w:val="22"/>
          <w:u w:val="single"/>
        </w:rPr>
        <w:t>SEC Filings; Financial Statements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The Company has timely filed all forms, statements, certifications, reports and documents required to be filed by it with the SEC under Sections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The interactive 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consolidated financial statements of the Company included in the SEC Reports (collectively, the “</w:t>
      </w:r>
      <w:r>
        <w:rPr>
          <w:rFonts w:ascii="Times New Roman" w:hAnsi="Times New Roman"/>
          <w:b/>
          <w:color w:val="000000"/>
          <w:sz w:val="22"/>
        </w:rPr>
        <w:t>Financial Statements</w:t>
      </w:r>
      <w:r>
        <w:rPr>
          <w:rFonts w:ascii="Times New Roman" w:hAnsi="Times New Roman"/>
          <w:color w:val="000000"/>
          <w:sz w:val="20"/>
        </w:rPr>
        <w:t>”</w:t>
      </w:r>
      <w:r>
        <w:rPr>
          <w:rFonts w:ascii="Times New Roman" w:hAnsi="Times New Roman"/>
          <w:color w:val="000000"/>
          <w:sz w:val="22"/>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hAnsi="Times New Roman"/>
          <w:b/>
          <w:color w:val="000000"/>
          <w:sz w:val="22"/>
        </w:rPr>
        <w:t>GAAP</w:t>
      </w:r>
      <w:r>
        <w:rPr>
          <w:rFonts w:ascii="Times New Roman" w:hAnsi="Times New Roman"/>
          <w:color w:val="000000"/>
          <w:sz w:val="20"/>
        </w:rPr>
        <w:t>”</w:t>
      </w:r>
      <w:r>
        <w:rPr>
          <w:rFonts w:ascii="Times New Roman" w:hAnsi="Times New Roman"/>
          <w:color w:val="000000"/>
          <w:sz w:val="22"/>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(ii) liabilities not required under GAAP to be reflected in the Financial Statements and (iii) liabilities assumed, or otherwise incurred pursuant to, the Merger Agreement and the transactions contemplated thereby.</w:t>
      </w:r>
    </w:p>
    <w:p>
      <w:pPr>
        <w:pStyle w:val="TextBody"/>
        <w:bidi w:val="0"/>
        <w:spacing w:before="0" w:after="240"/>
        <w:jc w:val="both"/>
        <w:rPr>
          <w:rFonts w:ascii="Times New Roman" w:hAnsi="Times New Roman"/>
          <w:sz w:val="20"/>
        </w:rPr>
      </w:pPr>
      <w:r>
        <w:rPr>
          <w:rFonts w:ascii="Times New Roman" w:hAnsi="Times New Roman"/>
          <w:color w:val="000000"/>
          <w:sz w:val="22"/>
        </w:rPr>
        <w:t>3.9</w:t>
      </w:r>
      <w:r>
        <w:rPr>
          <w:rFonts w:ascii="Times New Roman" w:hAnsi="Times New Roman"/>
          <w:color w:val="000000"/>
          <w:sz w:val="20"/>
        </w:rPr>
        <w:t xml:space="preserve"> </w:t>
      </w:r>
      <w:r>
        <w:rPr>
          <w:rFonts w:ascii="Times New Roman" w:hAnsi="Times New Roman"/>
          <w:color w:val="000000"/>
          <w:sz w:val="22"/>
          <w:u w:val="single"/>
        </w:rPr>
        <w:t>Absence of Changes</w:t>
      </w:r>
      <w:r>
        <w:rPr>
          <w:rFonts w:ascii="Times New Roman" w:hAnsi="Times New Roman"/>
          <w:color w:val="000000"/>
          <w:sz w:val="22"/>
        </w:rPr>
        <w:t>. Except for the execution of this Agreement, and the discussions, negotiations and transactions related hereto (including the transactions contemplated by the Merger Agreement), since June 30, 2026 (a) the Company has conducted its business only in the ordinary course of business and there have been no material transactions entered into by the Company or any of its Subsidiaries; (b) no material change to any material contract or arrangement by which the Company or any of its Subsidiaries is bound or to which any of their respective assets or properties is subject has been entered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into that has not been disclosed in the SEC Reports or in writing to the Investors and the Placement Agent; and (c) there has not been any other event or condition of any character that would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3.10</w:t>
      </w:r>
      <w:r>
        <w:rPr>
          <w:rFonts w:ascii="Times New Roman" w:hAnsi="Times New Roman"/>
          <w:color w:val="000000"/>
          <w:sz w:val="20"/>
        </w:rPr>
        <w:t xml:space="preserve"> </w:t>
      </w:r>
      <w:r>
        <w:rPr>
          <w:rFonts w:ascii="Times New Roman" w:hAnsi="Times New Roman"/>
          <w:color w:val="000000"/>
          <w:sz w:val="22"/>
          <w:u w:val="single"/>
        </w:rPr>
        <w:t>Absence of Litigation</w:t>
      </w:r>
      <w:r>
        <w:rPr>
          <w:rFonts w:ascii="Times New Roman" w:hAnsi="Times New Roman"/>
          <w:color w:val="000000"/>
          <w:sz w:val="22"/>
        </w:rPr>
        <w:t>. There is no action, suit, proceeding, arbitration, claim, investigation, charge, complaint or inquiry pending or, to the Company’s knowledge, threatened against the Company or any of its Subsidiaries which, individually or in the aggregate,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of its Subsidiaries, nor to the knowledge of the Company, any director or officer of the Company or any of its Subsidiaries,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pStyle w:val="TextBody"/>
        <w:bidi w:val="0"/>
        <w:spacing w:before="0" w:after="240"/>
        <w:jc w:val="both"/>
        <w:rPr>
          <w:rFonts w:ascii="Times New Roman" w:hAnsi="Times New Roman"/>
          <w:sz w:val="20"/>
        </w:rPr>
      </w:pPr>
      <w:r>
        <w:rPr>
          <w:rFonts w:ascii="Times New Roman" w:hAnsi="Times New Roman"/>
          <w:color w:val="000000"/>
          <w:sz w:val="22"/>
        </w:rPr>
        <w:t>3.11</w:t>
      </w:r>
      <w:r>
        <w:rPr>
          <w:rFonts w:ascii="Times New Roman" w:hAnsi="Times New Roman"/>
          <w:color w:val="000000"/>
          <w:sz w:val="20"/>
        </w:rPr>
        <w:t xml:space="preserve"> </w:t>
      </w:r>
      <w:r>
        <w:rPr>
          <w:rFonts w:ascii="Times New Roman" w:hAnsi="Times New Roman"/>
          <w:color w:val="000000"/>
          <w:sz w:val="22"/>
          <w:u w:val="single"/>
        </w:rPr>
        <w:t>Compliance with Law; Permits</w:t>
      </w:r>
      <w:r>
        <w:rPr>
          <w:rFonts w:ascii="Times New Roman" w:hAnsi="Times New Roman"/>
          <w:color w:val="000000"/>
          <w:sz w:val="22"/>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would not reasonably be expected to have a Material Adverse Effect. The Company and its Subsidiaries have all required licenses, permits, certificates and other authorizations (collectively, “</w:t>
      </w:r>
      <w:r>
        <w:rPr>
          <w:rFonts w:ascii="Times New Roman" w:hAnsi="Times New Roman"/>
          <w:b/>
          <w:color w:val="000000"/>
          <w:sz w:val="22"/>
        </w:rPr>
        <w:t>Governmental Authorizations</w:t>
      </w:r>
      <w:r>
        <w:rPr>
          <w:rFonts w:ascii="Times New Roman" w:hAnsi="Times New Roman"/>
          <w:color w:val="000000"/>
          <w:sz w:val="20"/>
        </w:rPr>
        <w:t>”</w:t>
      </w:r>
      <w:r>
        <w:rPr>
          <w:rFonts w:ascii="Times New Roman" w:hAnsi="Times New Roman"/>
          <w:color w:val="000000"/>
          <w:sz w:val="22"/>
        </w:rPr>
        <w:t>) from Governmental Bodies as are currently necessary for the operation of the business of the Company and its Subsidiaries as now conducted, except where the failure to possess currently such Governmental Authorizations is not reasonably expected to have a Material Adverse Effect. Neither the Company nor any of its Subsidiaries has received any written (or, to the Company’s knowledge, oral) notice regarding any revocation or material modification of any such Governmental Authorization, which, individually or in the aggregate, would reasonably be expected to result in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3.12</w:t>
      </w:r>
      <w:r>
        <w:rPr>
          <w:rFonts w:ascii="Times New Roman" w:hAnsi="Times New Roman"/>
          <w:color w:val="000000"/>
          <w:sz w:val="20"/>
        </w:rPr>
        <w:t xml:space="preserve"> </w:t>
      </w:r>
      <w:r>
        <w:rPr>
          <w:rFonts w:ascii="Times New Roman" w:hAnsi="Times New Roman"/>
          <w:color w:val="000000"/>
          <w:sz w:val="22"/>
          <w:u w:val="single"/>
        </w:rPr>
        <w:t>Intellectual Property</w:t>
      </w:r>
      <w:r>
        <w:rPr>
          <w:rFonts w:ascii="Times New Roman" w:hAnsi="Times New Roman"/>
          <w:color w:val="000000"/>
          <w:sz w:val="22"/>
        </w:rPr>
        <w:t>. The Company and its Subsidiaries have, or have rights to use, all material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hAnsi="Times New Roman"/>
          <w:b/>
          <w:color w:val="000000"/>
          <w:sz w:val="22"/>
        </w:rPr>
        <w:t>Intellectual Property</w:t>
      </w:r>
      <w:r>
        <w:rPr>
          <w:rFonts w:ascii="Times New Roman" w:hAnsi="Times New Roman"/>
          <w:color w:val="000000"/>
          <w:sz w:val="20"/>
        </w:rPr>
        <w:t>”</w:t>
      </w:r>
      <w:r>
        <w:rPr>
          <w:rFonts w:ascii="Times New Roman" w:hAnsi="Times New Roman"/>
          <w:color w:val="000000"/>
          <w:sz w:val="22"/>
        </w:rPr>
        <w:t>). Except as would not reasonably be expected to have a Material Adverse Effect, neither the Company nor any of its Subsidiaries has received a notice (written or otherwise) that any of the Intellectual Property has expired, terminated or been abandoned, or is expected to expire or terminate or be abandoned, within two (2) years from the date of this Agreement. Neither the Company nor any of its Subsidiaries has received, since January 1, 2026, a written notice of a claim or otherwise has any knowledge that the Intellectual Property violates or infringes upon the rights of any Person, except as would not reasonably be expected to have a Material Adverse Effect. The Intellectual Property of the Company and its Subsidiaries has not been adjudged by a court of competent jurisdiction to be invalid or unenforceable. To the knowledge of the Company, there is no existing material infringement by another Person of any of the Intellectual Property Rights. The Company and its Subsidiaries have taken reasonable security measures to protect the secrecy, confidentiality and value of all of their Intellectual Property, except where failure to do so would not, individually or in the aggregate,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3.13</w:t>
      </w:r>
      <w:r>
        <w:rPr>
          <w:rFonts w:ascii="Times New Roman" w:hAnsi="Times New Roman"/>
          <w:color w:val="000000"/>
          <w:sz w:val="20"/>
        </w:rPr>
        <w:t xml:space="preserve"> </w:t>
      </w:r>
      <w:r>
        <w:rPr>
          <w:rFonts w:ascii="Times New Roman" w:hAnsi="Times New Roman"/>
          <w:color w:val="000000"/>
          <w:sz w:val="22"/>
          <w:u w:val="single"/>
        </w:rPr>
        <w:t>Employee Benefits</w:t>
      </w:r>
      <w:r>
        <w:rPr>
          <w:rFonts w:ascii="Times New Roman" w:hAnsi="Times New Roman"/>
          <w:color w:val="000000"/>
          <w:sz w:val="22"/>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would reasonably be expected to interfere with the business activities of the Company, except where such dispute, strike or work stoppage is not reasonably likely, individually or in the aggregate,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3.14</w:t>
      </w:r>
      <w:r>
        <w:rPr>
          <w:rFonts w:ascii="Times New Roman" w:hAnsi="Times New Roman"/>
          <w:color w:val="000000"/>
          <w:sz w:val="20"/>
        </w:rPr>
        <w:t xml:space="preserve"> </w:t>
      </w:r>
      <w:r>
        <w:rPr>
          <w:rFonts w:ascii="Times New Roman" w:hAnsi="Times New Roman"/>
          <w:color w:val="000000"/>
          <w:sz w:val="22"/>
          <w:u w:val="single"/>
        </w:rPr>
        <w:t>Taxes</w:t>
      </w:r>
      <w:r>
        <w:rPr>
          <w:rFonts w:ascii="Times New Roman" w:hAnsi="Times New Roman"/>
          <w:color w:val="000000"/>
          <w:sz w:val="22"/>
        </w:rPr>
        <w:t>. Each of the Company and its Subsidiaries has filed all federal, state and foreign income Tax Returns and other Tax Returns required to have been filed under applicable law (or extensions have been duly obtained) and has paid all Taxes required to have been paid by it, except for those which are being contested in good faith and except where failure to file such Tax Returns or pay such Taxes would not, individually or in the aggregate, reasonably be expected to have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material liens for unpaid Taxes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Section 897(c)(2) of the Code during the period specified in Section 897(c)(1)(A)(ii) of the Code.</w:t>
      </w:r>
    </w:p>
    <w:p>
      <w:pPr>
        <w:pStyle w:val="TextBody"/>
        <w:bidi w:val="0"/>
        <w:spacing w:before="0" w:after="240"/>
        <w:jc w:val="both"/>
        <w:rPr>
          <w:rFonts w:ascii="Times New Roman" w:hAnsi="Times New Roman"/>
          <w:sz w:val="20"/>
        </w:rPr>
      </w:pPr>
      <w:r>
        <w:rPr>
          <w:rFonts w:ascii="Times New Roman" w:hAnsi="Times New Roman"/>
          <w:color w:val="000000"/>
          <w:sz w:val="22"/>
        </w:rPr>
        <w:t>3.15</w:t>
      </w:r>
      <w:r>
        <w:rPr>
          <w:rFonts w:ascii="Times New Roman" w:hAnsi="Times New Roman"/>
          <w:color w:val="000000"/>
          <w:sz w:val="20"/>
        </w:rPr>
        <w:t xml:space="preserve"> </w:t>
      </w:r>
      <w:r>
        <w:rPr>
          <w:rFonts w:ascii="Times New Roman" w:hAnsi="Times New Roman"/>
          <w:color w:val="000000"/>
          <w:sz w:val="22"/>
          <w:u w:val="single"/>
        </w:rPr>
        <w:t>Environmental Laws</w:t>
      </w:r>
      <w:r>
        <w:rPr>
          <w:rFonts w:ascii="Times New Roman" w:hAnsi="Times New Roman"/>
          <w:color w:val="000000"/>
          <w:sz w:val="22"/>
        </w:rPr>
        <w:t>. Except as would not reasonably be expected to have a Material Adverse Effect,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color w:val="000000"/>
          <w:sz w:val="22"/>
        </w:rPr>
        <w:t>Environmental Laws</w:t>
      </w:r>
      <w:r>
        <w:rPr>
          <w:rFonts w:ascii="Times New Roman" w:hAnsi="Times New Roman"/>
          <w:color w:val="000000"/>
          <w:sz w:val="20"/>
        </w:rPr>
        <w:t>”</w:t>
      </w:r>
      <w:r>
        <w:rPr>
          <w:rFonts w:ascii="Times New Roman" w:hAnsi="Times New Roman"/>
          <w:color w:val="000000"/>
          <w:sz w:val="22"/>
        </w:rPr>
        <w:t>), (ii) have received all permits and other Governmental Authorizations required under applicable Environmental Laws to conduct their business and (iii) are in compliance with all terms and conditions of any such permit, license or approval. None of the Company nor any of its Subsidiaries has received since January 1, 2025, any written notice or other communication (in writing or otherwise), whether from a governmental authority or other Person, that alleges that the Company or any of its Subsidiaries is not in compliance with any Environmental Law and, to the knowledge of the Company, there are no circumstances that may prevent or interfere with the Company’s or any of its Subsidiaries’ compliance in any material respects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of its Subsidiaries has received since January 1, 2025, any written notice or other communication relating to property owned or leased at any time by the Company, whether from a governmental authority, or other Person, that alleges that such current or prior owner or the Company or any of its Subsidiaries is not in compliance with or violated any Environmental Law relating to such property and (ii) the Company has no liability under any Environmental Law that would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3.16</w:t>
      </w:r>
      <w:r>
        <w:rPr>
          <w:rFonts w:ascii="Times New Roman" w:hAnsi="Times New Roman"/>
          <w:color w:val="000000"/>
          <w:sz w:val="20"/>
        </w:rPr>
        <w:t xml:space="preserve"> </w:t>
      </w:r>
      <w:r>
        <w:rPr>
          <w:rFonts w:ascii="Times New Roman" w:hAnsi="Times New Roman"/>
          <w:color w:val="000000"/>
          <w:sz w:val="22"/>
          <w:u w:val="single"/>
        </w:rPr>
        <w:t>Title</w:t>
      </w:r>
      <w:r>
        <w:rPr>
          <w:rFonts w:ascii="Times New Roman" w:hAnsi="Times New Roman"/>
          <w:color w:val="000000"/>
          <w:sz w:val="22"/>
        </w:rPr>
        <w:t>. Except as would not reasonably be expected to have a Material Adverse Effect, each of the Company and its Subsidiaries has good and marketable title to all personal property owned by it that is material to the business of the Company and its Subsidiaries taken as a whole, free and clear of all liens, encumbrances and defects except such as do not materially and adversely affect the value of such property and do not materially and adversely interfere with the use made and proposed to be made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such property by the Company or its Subsidiaries, as the case may be, or as otherwise disclosed in the SEC Reports. Except as would not reasonably be expected to result in a Material Adverse Effect, any real property and buildings held under lease by the Company or its Subsidiaries are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pStyle w:val="TextBody"/>
        <w:bidi w:val="0"/>
        <w:spacing w:before="0" w:after="240"/>
        <w:jc w:val="both"/>
        <w:rPr>
          <w:rFonts w:ascii="Times New Roman" w:hAnsi="Times New Roman"/>
          <w:sz w:val="20"/>
        </w:rPr>
      </w:pPr>
      <w:r>
        <w:rPr>
          <w:rFonts w:ascii="Times New Roman" w:hAnsi="Times New Roman"/>
          <w:color w:val="000000"/>
          <w:sz w:val="22"/>
        </w:rPr>
        <w:t>3.17</w:t>
      </w:r>
      <w:r>
        <w:rPr>
          <w:rFonts w:ascii="Times New Roman" w:hAnsi="Times New Roman"/>
          <w:color w:val="000000"/>
          <w:sz w:val="20"/>
        </w:rPr>
        <w:t xml:space="preserve"> </w:t>
      </w:r>
      <w:r>
        <w:rPr>
          <w:rFonts w:ascii="Times New Roman" w:hAnsi="Times New Roman"/>
          <w:color w:val="000000"/>
          <w:sz w:val="22"/>
          <w:u w:val="single"/>
        </w:rPr>
        <w:t>Insurance</w:t>
      </w:r>
      <w:r>
        <w:rPr>
          <w:rFonts w:ascii="Times New Roman" w:hAnsi="Times New Roman"/>
          <w:color w:val="000000"/>
          <w:sz w:val="22"/>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2024, the Company has not received any written notice or other communication regarding any actual or possible: (i) cancellation or invalidation of any material insurance policy or (ii) refusal or denial of any coverage, reservation of rights or rejection of any material claim under any insurance policy.</w:t>
      </w:r>
    </w:p>
    <w:p>
      <w:pPr>
        <w:pStyle w:val="TextBody"/>
        <w:bidi w:val="0"/>
        <w:spacing w:before="0" w:after="240"/>
        <w:jc w:val="both"/>
        <w:rPr>
          <w:rFonts w:ascii="Times New Roman" w:hAnsi="Times New Roman"/>
          <w:sz w:val="20"/>
        </w:rPr>
      </w:pPr>
      <w:r>
        <w:rPr>
          <w:rFonts w:ascii="Times New Roman" w:hAnsi="Times New Roman"/>
          <w:color w:val="000000"/>
          <w:sz w:val="22"/>
        </w:rPr>
        <w:t>3.18</w:t>
      </w:r>
      <w:r>
        <w:rPr>
          <w:rFonts w:ascii="Times New Roman" w:hAnsi="Times New Roman"/>
          <w:color w:val="000000"/>
          <w:sz w:val="20"/>
        </w:rPr>
        <w:t xml:space="preserve"> </w:t>
      </w:r>
      <w:r>
        <w:rPr>
          <w:rFonts w:ascii="Times New Roman" w:hAnsi="Times New Roman"/>
          <w:color w:val="000000"/>
          <w:sz w:val="22"/>
          <w:u w:val="single"/>
        </w:rPr>
        <w:t>Nasdaq Stock Market</w:t>
      </w:r>
      <w:r>
        <w:rPr>
          <w:rFonts w:ascii="Times New Roman" w:hAnsi="Times New Roman"/>
          <w:color w:val="000000"/>
          <w:sz w:val="22"/>
        </w:rPr>
        <w:t>. The issued and outstanding shares of Common Stock are registered pursuant to Section 12(b) of the Exchange Act and are listed for trading on the Nasdaq Capital Market under the symbol “BOLT”.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the Nasdaq Capital Market or to deregister the Common Stock under the Exchange Act. The Company has taken no action that is designed to terminate the registration of the Common Stock under the Exchange Act.</w:t>
      </w:r>
    </w:p>
    <w:p>
      <w:pPr>
        <w:pStyle w:val="TextBody"/>
        <w:bidi w:val="0"/>
        <w:spacing w:before="0" w:after="240"/>
        <w:jc w:val="both"/>
        <w:rPr>
          <w:rFonts w:ascii="Times New Roman" w:hAnsi="Times New Roman"/>
          <w:sz w:val="20"/>
        </w:rPr>
      </w:pPr>
      <w:r>
        <w:rPr>
          <w:rFonts w:ascii="Times New Roman" w:hAnsi="Times New Roman"/>
          <w:color w:val="000000"/>
          <w:sz w:val="22"/>
        </w:rPr>
        <w:t>3.19</w:t>
      </w:r>
      <w:r>
        <w:rPr>
          <w:rFonts w:ascii="Times New Roman" w:hAnsi="Times New Roman"/>
          <w:color w:val="000000"/>
          <w:sz w:val="20"/>
        </w:rPr>
        <w:t xml:space="preserve"> </w:t>
      </w:r>
      <w:r>
        <w:rPr>
          <w:rFonts w:ascii="Times New Roman" w:hAnsi="Times New Roman"/>
          <w:color w:val="000000"/>
          <w:sz w:val="22"/>
          <w:u w:val="single"/>
        </w:rPr>
        <w:t>Sarbanes-Oxley Act</w:t>
      </w:r>
      <w:r>
        <w:rPr>
          <w:rFonts w:ascii="Times New Roman" w:hAnsi="Times New Roman"/>
          <w:color w:val="000000"/>
          <w:sz w:val="22"/>
        </w:rPr>
        <w:t>. The Company is, and since January 1, 2025 has been, in compliance in all material respects with all applicable requirements of the Sarbanes-Oxley Act of 2002 and applicable rules and regulations promulgated by the SEC thereunder.</w:t>
      </w:r>
    </w:p>
    <w:p>
      <w:pPr>
        <w:pStyle w:val="TextBody"/>
        <w:bidi w:val="0"/>
        <w:spacing w:before="0" w:after="240"/>
        <w:jc w:val="both"/>
        <w:rPr>
          <w:rFonts w:ascii="Times New Roman" w:hAnsi="Times New Roman"/>
          <w:sz w:val="20"/>
        </w:rPr>
      </w:pPr>
      <w:r>
        <w:rPr>
          <w:rFonts w:ascii="Times New Roman" w:hAnsi="Times New Roman"/>
          <w:color w:val="000000"/>
          <w:sz w:val="22"/>
        </w:rPr>
        <w:t>3.20</w:t>
      </w:r>
      <w:r>
        <w:rPr>
          <w:rFonts w:ascii="Times New Roman" w:hAnsi="Times New Roman"/>
          <w:color w:val="000000"/>
          <w:sz w:val="20"/>
        </w:rPr>
        <w:t xml:space="preserve"> </w:t>
      </w:r>
      <w:r>
        <w:rPr>
          <w:rFonts w:ascii="Times New Roman" w:hAnsi="Times New Roman"/>
          <w:color w:val="000000"/>
          <w:sz w:val="22"/>
          <w:u w:val="single"/>
        </w:rPr>
        <w:t>FDA</w:t>
      </w:r>
      <w:r>
        <w:rPr>
          <w:rFonts w:ascii="Times New Roman" w:hAnsi="Times New Roman"/>
          <w:color w:val="000000"/>
          <w:sz w:val="22"/>
        </w:rPr>
        <w:t>. Except as would not reasonably be expected to result in a Material Adverse Effect: as to each product that is subject to the jurisdiction of the U.S. Food and Drug Administration (“</w:t>
      </w:r>
      <w:r>
        <w:rPr>
          <w:rFonts w:ascii="Times New Roman" w:hAnsi="Times New Roman"/>
          <w:b/>
          <w:color w:val="000000"/>
          <w:sz w:val="22"/>
        </w:rPr>
        <w:t>FDA</w:t>
      </w:r>
      <w:r>
        <w:rPr>
          <w:rFonts w:ascii="Times New Roman" w:hAnsi="Times New Roman"/>
          <w:color w:val="000000"/>
          <w:sz w:val="20"/>
        </w:rPr>
        <w:t>”</w:t>
      </w:r>
      <w:r>
        <w:rPr>
          <w:rFonts w:ascii="Times New Roman" w:hAnsi="Times New Roman"/>
          <w:color w:val="000000"/>
          <w:sz w:val="22"/>
        </w:rPr>
        <w:t>) under the Federal Food, Drug and Cosmetic Act, as amended, and the regulations thereunder (“</w:t>
      </w:r>
      <w:r>
        <w:rPr>
          <w:rFonts w:ascii="Times New Roman" w:hAnsi="Times New Roman"/>
          <w:b/>
          <w:color w:val="000000"/>
          <w:sz w:val="22"/>
        </w:rPr>
        <w:t>FDCA</w:t>
      </w:r>
      <w:r>
        <w:rPr>
          <w:rFonts w:ascii="Times New Roman" w:hAnsi="Times New Roman"/>
          <w:color w:val="000000"/>
          <w:sz w:val="20"/>
        </w:rPr>
        <w:t>”</w:t>
      </w:r>
      <w:r>
        <w:rPr>
          <w:rFonts w:ascii="Times New Roman" w:hAnsi="Times New Roman"/>
          <w:color w:val="000000"/>
          <w:sz w:val="22"/>
        </w:rPr>
        <w:t>) that is being researched, developed, manufactured, packaged, labeled, tested, distributed, sold, and/or marketed by the Company or any of its Subsidiaries (each such product, a “</w:t>
      </w:r>
      <w:r>
        <w:rPr>
          <w:rFonts w:ascii="Times New Roman" w:hAnsi="Times New Roman"/>
          <w:b/>
          <w:color w:val="000000"/>
          <w:sz w:val="22"/>
        </w:rPr>
        <w:t>Product Candidate</w:t>
      </w:r>
      <w:r>
        <w:rPr>
          <w:rFonts w:ascii="Times New Roman" w:hAnsi="Times New Roman"/>
          <w:color w:val="000000"/>
          <w:sz w:val="20"/>
        </w:rPr>
        <w:t>”</w:t>
      </w:r>
      <w:r>
        <w:rPr>
          <w:rFonts w:ascii="Times New Roman" w:hAnsi="Times New Roman"/>
          <w:color w:val="000000"/>
          <w:sz w:val="22"/>
        </w:rPr>
        <w:t>), such Product Candidate is being researched, developed,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Except as would not reasonably be expected to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Product Candidate, (ii) withdraws its approval of, requests the recall, suspension, or seizure of, or withdraws or orders the withdrawal of advertising or sales promotional materials relating to, any Product Candidate, (iii) imposes a clinical hold on any clinical investigation by the Company or any of its Subsidiaries, (iv) enjoins production at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Company has not been informed by the FDA that the FDA will prohibit the continued clinical development of any Product Candidate currently in clinical development, or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 </w:t>
      </w:r>
    </w:p>
    <w:p>
      <w:pPr>
        <w:pStyle w:val="TextBody"/>
        <w:bidi w:val="0"/>
        <w:spacing w:before="0" w:after="240"/>
        <w:jc w:val="both"/>
        <w:rPr>
          <w:rFonts w:ascii="Times New Roman" w:hAnsi="Times New Roman"/>
          <w:sz w:val="20"/>
        </w:rPr>
      </w:pPr>
      <w:r>
        <w:rPr>
          <w:rFonts w:ascii="Times New Roman" w:hAnsi="Times New Roman"/>
          <w:color w:val="000000"/>
          <w:sz w:val="22"/>
        </w:rPr>
        <w:t>3.21</w:t>
      </w:r>
      <w:r>
        <w:rPr>
          <w:rFonts w:ascii="Times New Roman" w:hAnsi="Times New Roman"/>
          <w:color w:val="000000"/>
          <w:sz w:val="20"/>
        </w:rPr>
        <w:t xml:space="preserve"> </w:t>
      </w:r>
      <w:r>
        <w:rPr>
          <w:rFonts w:ascii="Times New Roman" w:hAnsi="Times New Roman"/>
          <w:color w:val="000000"/>
          <w:sz w:val="22"/>
          <w:u w:val="single"/>
        </w:rPr>
        <w:t>Compliance with Health Care Laws</w:t>
      </w:r>
      <w:r>
        <w:rPr>
          <w:rFonts w:ascii="Times New Roman" w:hAnsi="Times New Roman"/>
          <w:color w:val="000000"/>
          <w:sz w:val="22"/>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hAnsi="Times New Roman"/>
          <w:b/>
          <w:color w:val="000000"/>
          <w:sz w:val="22"/>
        </w:rPr>
        <w:t>Health Care Laws</w:t>
      </w:r>
      <w:r>
        <w:rPr>
          <w:rFonts w:ascii="Times New Roman" w:hAnsi="Times New Roman"/>
          <w:color w:val="000000"/>
          <w:sz w:val="20"/>
        </w:rPr>
        <w:t xml:space="preserve">” </w:t>
      </w:r>
      <w:r>
        <w:rPr>
          <w:rFonts w:ascii="Times New Roman" w:hAnsi="Times New Roman"/>
          <w:color w:val="000000"/>
          <w:sz w:val="22"/>
        </w:rPr>
        <w:t>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hAnsi="Times New Roman"/>
          <w:b/>
          <w:color w:val="000000"/>
          <w:sz w:val="22"/>
        </w:rPr>
        <w:t>EU</w:t>
      </w:r>
      <w:r>
        <w:rPr>
          <w:rFonts w:ascii="Times New Roman" w:hAnsi="Times New Roman"/>
          <w:color w:val="000000"/>
          <w:sz w:val="20"/>
        </w:rPr>
        <w:t>”</w:t>
      </w:r>
      <w:r>
        <w:rPr>
          <w:rFonts w:ascii="Times New Roman" w:hAnsi="Times New Roman"/>
          <w:color w:val="000000"/>
          <w:sz w:val="22"/>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3.22</w:t>
      </w:r>
      <w:r>
        <w:rPr>
          <w:rFonts w:ascii="Times New Roman" w:hAnsi="Times New Roman"/>
          <w:color w:val="000000"/>
          <w:sz w:val="20"/>
        </w:rPr>
        <w:t xml:space="preserve"> </w:t>
      </w:r>
      <w:r>
        <w:rPr>
          <w:rFonts w:ascii="Times New Roman" w:hAnsi="Times New Roman"/>
          <w:color w:val="000000"/>
          <w:sz w:val="22"/>
          <w:u w:val="single"/>
        </w:rPr>
        <w:t>Accounting Controls and Disclosure Controls and Procedures</w:t>
      </w:r>
      <w:r>
        <w:rPr>
          <w:rFonts w:ascii="Times New Roman" w:hAnsi="Times New Roman"/>
          <w:color w:val="000000"/>
          <w:sz w:val="22"/>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since December 31, 2025, (a) the Company has not identified any material weaknesses in the design or operation of the Company’s internal control over financial reporting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240"/>
        <w:jc w:val="both"/>
        <w:rPr>
          <w:rFonts w:ascii="Times New Roman" w:hAnsi="Times New Roman"/>
          <w:sz w:val="20"/>
        </w:rPr>
      </w:pPr>
      <w:r>
        <w:rPr>
          <w:rFonts w:ascii="Times New Roman" w:hAnsi="Times New Roman"/>
          <w:color w:val="000000"/>
          <w:sz w:val="22"/>
        </w:rPr>
        <w:t>3.23</w:t>
      </w:r>
      <w:r>
        <w:rPr>
          <w:rFonts w:ascii="Times New Roman" w:hAnsi="Times New Roman"/>
          <w:color w:val="000000"/>
          <w:sz w:val="20"/>
        </w:rPr>
        <w:t xml:space="preserve"> </w:t>
      </w:r>
      <w:r>
        <w:rPr>
          <w:rFonts w:ascii="Times New Roman" w:hAnsi="Times New Roman"/>
          <w:color w:val="000000"/>
          <w:sz w:val="22"/>
          <w:u w:val="single"/>
        </w:rPr>
        <w:t>Price Stabilization of Common Stock</w:t>
      </w:r>
      <w:r>
        <w:rPr>
          <w:rFonts w:ascii="Times New Roman" w:hAnsi="Times New Roman"/>
          <w:color w:val="000000"/>
          <w:sz w:val="22"/>
        </w:rPr>
        <w:t>. The Company has not taken, nor will it take, directly or indirectly, any action designed to stabilize or manipulate the price of the Common Stock to facilitate the sale or resale of the Securities.</w:t>
      </w:r>
    </w:p>
    <w:p>
      <w:pPr>
        <w:pStyle w:val="TextBody"/>
        <w:bidi w:val="0"/>
        <w:spacing w:before="0" w:after="240"/>
        <w:jc w:val="both"/>
        <w:rPr>
          <w:rFonts w:ascii="Times New Roman" w:hAnsi="Times New Roman"/>
          <w:sz w:val="20"/>
        </w:rPr>
      </w:pPr>
      <w:r>
        <w:rPr>
          <w:rFonts w:ascii="Times New Roman" w:hAnsi="Times New Roman"/>
          <w:color w:val="000000"/>
          <w:sz w:val="22"/>
        </w:rPr>
        <w:t>3.24</w:t>
      </w:r>
      <w:r>
        <w:rPr>
          <w:rFonts w:ascii="Times New Roman" w:hAnsi="Times New Roman"/>
          <w:color w:val="000000"/>
          <w:sz w:val="20"/>
        </w:rPr>
        <w:t xml:space="preserve"> </w:t>
      </w:r>
      <w:r>
        <w:rPr>
          <w:rFonts w:ascii="Times New Roman" w:hAnsi="Times New Roman"/>
          <w:color w:val="000000"/>
          <w:sz w:val="22"/>
          <w:u w:val="single"/>
        </w:rPr>
        <w:t>Investment Company Act</w:t>
      </w:r>
      <w:r>
        <w:rPr>
          <w:rFonts w:ascii="Times New Roman" w:hAnsi="Times New Roman"/>
          <w:color w:val="000000"/>
          <w:sz w:val="22"/>
        </w:rPr>
        <w:t>. The Company is not, and immediately after receipt of payment for the Securities will not be, required to register as an “investment company” within the meaning of the U.S. Investment Company Act of 1940, as amended.</w:t>
      </w:r>
    </w:p>
    <w:p>
      <w:pPr>
        <w:pStyle w:val="TextBody"/>
        <w:bidi w:val="0"/>
        <w:spacing w:before="0" w:after="240"/>
        <w:jc w:val="both"/>
        <w:rPr>
          <w:rFonts w:ascii="Times New Roman" w:hAnsi="Times New Roman"/>
          <w:sz w:val="20"/>
        </w:rPr>
      </w:pPr>
      <w:r>
        <w:rPr>
          <w:rFonts w:ascii="Times New Roman" w:hAnsi="Times New Roman"/>
          <w:color w:val="000000"/>
          <w:sz w:val="22"/>
        </w:rPr>
        <w:t>3.25</w:t>
      </w:r>
      <w:r>
        <w:rPr>
          <w:rFonts w:ascii="Times New Roman" w:hAnsi="Times New Roman"/>
          <w:color w:val="000000"/>
          <w:sz w:val="20"/>
        </w:rPr>
        <w:t xml:space="preserve"> </w:t>
      </w:r>
      <w:r>
        <w:rPr>
          <w:rFonts w:ascii="Times New Roman" w:hAnsi="Times New Roman"/>
          <w:color w:val="000000"/>
          <w:sz w:val="22"/>
          <w:u w:val="single"/>
        </w:rPr>
        <w:t>General Solicitation; No Integration or Aggregation</w:t>
      </w:r>
      <w:r>
        <w:rPr>
          <w:rFonts w:ascii="Times New Roman" w:hAnsi="Times New Roman"/>
          <w:color w:val="000000"/>
          <w:sz w:val="22"/>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Except with respect to the Common Stock and Preferred Stock issuable pursuant to the Merger Agreement and shares of Common Stock issuable upon conversion of such Preferred Stock, the Company has not, directly or indirectly, sold, offered for sale, solicited offers to buy or otherwise negotiated in respect of, any security (as defined in the Securities Act) which is or will be (i) integrated with the offer and sale of the Securities pursuant to this Agreement for purposes of the Securities Act and would require registration under the Securities Act of the offer and sale of the Securities hereunder or (ii) aggregated with prior offerings by the Company for the purposes of the rules and regulations of the Nasdaq Capital Market. Assuming the accuracy of the representations and warranties of the Investors set forth in </w:t>
      </w:r>
      <w:r>
        <w:rPr>
          <w:rFonts w:ascii="Times New Roman" w:hAnsi="Times New Roman"/>
          <w:color w:val="000000"/>
          <w:sz w:val="22"/>
          <w:u w:val="single"/>
        </w:rPr>
        <w:t>Section 4</w:t>
      </w:r>
      <w:r>
        <w:rPr>
          <w:rFonts w:ascii="Times New Roman" w:hAnsi="Times New Roman"/>
          <w:color w:val="000000"/>
          <w:sz w:val="22"/>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3.26</w:t>
      </w:r>
      <w:r>
        <w:rPr>
          <w:rFonts w:ascii="Times New Roman" w:hAnsi="Times New Roman"/>
          <w:color w:val="000000"/>
          <w:sz w:val="20"/>
        </w:rPr>
        <w:t xml:space="preserve"> </w:t>
      </w:r>
      <w:r>
        <w:rPr>
          <w:rFonts w:ascii="Times New Roman" w:hAnsi="Times New Roman"/>
          <w:color w:val="000000"/>
          <w:sz w:val="22"/>
          <w:u w:val="single"/>
        </w:rPr>
        <w:t>Brokers and Finders</w:t>
      </w:r>
      <w:r>
        <w:rPr>
          <w:rFonts w:ascii="Times New Roman" w:hAnsi="Times New Roman"/>
          <w:color w:val="000000"/>
          <w:sz w:val="22"/>
        </w:rPr>
        <w:t>. Other than the Placement Agent,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3.27</w:t>
      </w:r>
      <w:r>
        <w:rPr>
          <w:rFonts w:ascii="Times New Roman" w:hAnsi="Times New Roman"/>
          <w:color w:val="000000"/>
          <w:sz w:val="20"/>
        </w:rPr>
        <w:t xml:space="preserve"> </w:t>
      </w:r>
      <w:r>
        <w:rPr>
          <w:rFonts w:ascii="Times New Roman" w:hAnsi="Times New Roman"/>
          <w:color w:val="000000"/>
          <w:sz w:val="22"/>
          <w:u w:val="single"/>
        </w:rPr>
        <w:t>Reliance by the Investors</w:t>
      </w:r>
      <w:r>
        <w:rPr>
          <w:rFonts w:ascii="Times New Roman" w:hAnsi="Times New Roman"/>
          <w:color w:val="000000"/>
          <w:sz w:val="22"/>
        </w:rPr>
        <w:t xml:space="preserve">. The Company has a reasonable basis for making each of the representations set forth in this </w:t>
      </w:r>
      <w:r>
        <w:rPr>
          <w:rFonts w:ascii="Times New Roman" w:hAnsi="Times New Roman"/>
          <w:color w:val="000000"/>
          <w:sz w:val="22"/>
          <w:u w:val="single"/>
        </w:rPr>
        <w:t>Section 3</w:t>
      </w:r>
      <w:r>
        <w:rPr>
          <w:rFonts w:ascii="Times New Roman" w:hAnsi="Times New Roman"/>
          <w:color w:val="000000"/>
          <w:sz w:val="22"/>
        </w:rPr>
        <w:t>. The Company acknowledges that each of the Investors will rely upon the truth and accuracy of, and the Company’s compliance with, the representations, warranties, agreements, acknowledgements and understandings of the Company set forth herein.</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3.28</w:t>
      </w:r>
      <w:r>
        <w:rPr>
          <w:rFonts w:ascii="Times New Roman" w:hAnsi="Times New Roman"/>
          <w:color w:val="000000"/>
          <w:sz w:val="20"/>
        </w:rPr>
        <w:t xml:space="preserve"> </w:t>
      </w:r>
      <w:r>
        <w:rPr>
          <w:rFonts w:ascii="Times New Roman" w:hAnsi="Times New Roman"/>
          <w:color w:val="000000"/>
          <w:sz w:val="22"/>
          <w:u w:val="single"/>
        </w:rPr>
        <w:t>No Additional Agreements</w:t>
      </w:r>
      <w:r>
        <w:rPr>
          <w:rFonts w:ascii="Times New Roman" w:hAnsi="Times New Roman"/>
          <w:color w:val="000000"/>
          <w:sz w:val="22"/>
        </w:rPr>
        <w:t>. There are no agreements or understandings between the Company and any Investor with respect to the transactions contemplated by the Transaction Documents other than (i) as specified in the Transaction Documents or the Merger Agreement, (ii) any side letter agreements with any of the Investors, which side letters the Company has shared with all Investors and (iii) confidentiality, nondisclosure or similar agreements.</w:t>
      </w:r>
    </w:p>
    <w:p>
      <w:pPr>
        <w:pStyle w:val="TextBody"/>
        <w:bidi w:val="0"/>
        <w:spacing w:before="0" w:after="240"/>
        <w:jc w:val="both"/>
        <w:rPr>
          <w:rFonts w:ascii="Times New Roman" w:hAnsi="Times New Roman"/>
          <w:sz w:val="20"/>
        </w:rPr>
      </w:pPr>
      <w:r>
        <w:rPr>
          <w:rFonts w:ascii="Times New Roman" w:hAnsi="Times New Roman"/>
          <w:color w:val="000000"/>
          <w:sz w:val="22"/>
        </w:rPr>
        <w:t>3.29</w:t>
      </w:r>
      <w:r>
        <w:rPr>
          <w:rFonts w:ascii="Times New Roman" w:hAnsi="Times New Roman"/>
          <w:color w:val="000000"/>
          <w:sz w:val="20"/>
        </w:rPr>
        <w:t xml:space="preserve"> </w:t>
      </w:r>
      <w:r>
        <w:rPr>
          <w:rFonts w:ascii="Times New Roman" w:hAnsi="Times New Roman"/>
          <w:color w:val="000000"/>
          <w:sz w:val="22"/>
          <w:u w:val="single"/>
        </w:rPr>
        <w:t>Anti-Bribery and Anti-Money Laundering Laws</w:t>
      </w:r>
      <w:r>
        <w:rPr>
          <w:rFonts w:ascii="Times New Roman" w:hAnsi="Times New Roman"/>
          <w:color w:val="000000"/>
          <w:sz w:val="22"/>
        </w:rPr>
        <w:t>. Each of the Company, its Subsidiaries and, to the knowledge of the Company, any of their respective officers, directors, supervisors, managers, agents, or employees are and have at all times been in compliance with and their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USA Patriot Act of 2001,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pStyle w:val="TextBody"/>
        <w:bidi w:val="0"/>
        <w:spacing w:before="0" w:after="240"/>
        <w:jc w:val="both"/>
        <w:rPr>
          <w:rFonts w:ascii="Times New Roman" w:hAnsi="Times New Roman"/>
          <w:sz w:val="20"/>
        </w:rPr>
      </w:pPr>
      <w:r>
        <w:rPr>
          <w:rFonts w:ascii="Times New Roman" w:hAnsi="Times New Roman"/>
          <w:color w:val="000000"/>
          <w:sz w:val="22"/>
        </w:rPr>
        <w:t>3.30</w:t>
      </w:r>
      <w:r>
        <w:rPr>
          <w:rFonts w:ascii="Times New Roman" w:hAnsi="Times New Roman"/>
          <w:color w:val="000000"/>
          <w:sz w:val="20"/>
        </w:rPr>
        <w:t xml:space="preserve"> </w:t>
      </w:r>
      <w:r>
        <w:rPr>
          <w:rFonts w:ascii="Times New Roman" w:hAnsi="Times New Roman"/>
          <w:color w:val="000000"/>
          <w:sz w:val="22"/>
          <w:u w:val="single"/>
        </w:rPr>
        <w:t>Cybersecurity</w:t>
      </w:r>
      <w:r>
        <w:rPr>
          <w:rFonts w:ascii="Times New Roman" w:hAnsi="Times New Roman"/>
          <w:color w:val="000000"/>
          <w:sz w:val="22"/>
        </w:rPr>
        <w:t>. The Company and its Subsidiaries’ information technology assets and equipment, computers, systems, networks, hardware, software, websites, applications, and databases (collectively, “</w:t>
      </w:r>
      <w:r>
        <w:rPr>
          <w:rFonts w:ascii="Times New Roman" w:hAnsi="Times New Roman"/>
          <w:b/>
          <w:color w:val="000000"/>
          <w:sz w:val="22"/>
        </w:rPr>
        <w:t>IT Systems</w:t>
      </w:r>
      <w:r>
        <w:rPr>
          <w:rFonts w:ascii="Times New Roman" w:hAnsi="Times New Roman"/>
          <w:color w:val="000000"/>
          <w:sz w:val="20"/>
        </w:rPr>
        <w:t>”</w:t>
      </w:r>
      <w:r>
        <w:rPr>
          <w:rFonts w:ascii="Times New Roman" w:hAnsi="Times New Roman"/>
          <w:color w:val="000000"/>
          <w:sz w:val="22"/>
        </w:rPr>
        <w:t>) are adequate for, and operate and perform in all material respects as required in connection with the operation of the business of the Company and its Subsidiaries as currently conducted, and, to the Company’s knowledge,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color w:val="000000"/>
          <w:sz w:val="22"/>
        </w:rPr>
        <w:t>Confidential Data</w:t>
      </w:r>
      <w:r>
        <w:rPr>
          <w:rFonts w:ascii="Times New Roman" w:hAnsi="Times New Roman"/>
          <w:color w:val="000000"/>
          <w:sz w:val="20"/>
        </w:rPr>
        <w:t>”</w:t>
      </w:r>
      <w:r>
        <w:rPr>
          <w:rFonts w:ascii="Times New Roman" w:hAnsi="Times New Roman"/>
          <w:color w:val="000000"/>
          <w:sz w:val="22"/>
        </w:rPr>
        <w:t>) used or maintained in connection with their businesses and Personal Data (defined below), and the integrity, availability, continuous operation, redundancy and security of all IT Systems. “</w:t>
      </w:r>
      <w:r>
        <w:rPr>
          <w:rFonts w:ascii="Times New Roman" w:hAnsi="Times New Roman"/>
          <w:b/>
          <w:color w:val="000000"/>
          <w:sz w:val="22"/>
        </w:rPr>
        <w:t>Personal Data</w:t>
      </w:r>
      <w:r>
        <w:rPr>
          <w:rFonts w:ascii="Times New Roman" w:hAnsi="Times New Roman"/>
          <w:color w:val="000000"/>
          <w:sz w:val="20"/>
        </w:rPr>
        <w:t xml:space="preserve">” </w:t>
      </w:r>
      <w:r>
        <w:rPr>
          <w:rFonts w:ascii="Times New Roman" w:hAnsi="Times New Roman"/>
          <w:color w:val="000000"/>
          <w:sz w:val="22"/>
        </w:rPr>
        <w:t>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color w:val="000000"/>
          <w:sz w:val="22"/>
        </w:rPr>
        <w:t>HIPAA</w:t>
      </w:r>
      <w:r>
        <w:rPr>
          <w:rFonts w:ascii="Times New Roman" w:hAnsi="Times New Roman"/>
          <w:color w:val="000000"/>
          <w:sz w:val="20"/>
        </w:rPr>
        <w:t>”</w:t>
      </w:r>
      <w:r>
        <w:rPr>
          <w:rFonts w:ascii="Times New Roman" w:hAnsi="Times New Roman"/>
          <w:color w:val="000000"/>
          <w:sz w:val="22"/>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3.31</w:t>
      </w:r>
      <w:r>
        <w:rPr>
          <w:rFonts w:ascii="Times New Roman" w:hAnsi="Times New Roman"/>
          <w:color w:val="000000"/>
          <w:sz w:val="20"/>
        </w:rPr>
        <w:t xml:space="preserve"> </w:t>
      </w:r>
      <w:r>
        <w:rPr>
          <w:rFonts w:ascii="Times New Roman" w:hAnsi="Times New Roman"/>
          <w:color w:val="000000"/>
          <w:sz w:val="22"/>
          <w:u w:val="single"/>
        </w:rPr>
        <w:t>Compliance with Data Privacy Laws</w:t>
      </w:r>
      <w:r>
        <w:rPr>
          <w:rFonts w:ascii="Times New Roman" w:hAnsi="Times New Roman"/>
          <w:color w:val="000000"/>
          <w:sz w:val="22"/>
        </w:rPr>
        <w:t>. The Company and its Subsidiaries are, and at all prior times were, in material compliance with all applicable state, federal and foreign data privacy and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security laws and regulations regarding the collection, use, storage, retention, disclosure, transfer, disposal, or any other processing (collectively “</w:t>
      </w:r>
      <w:r>
        <w:rPr>
          <w:rFonts w:ascii="Times New Roman" w:hAnsi="Times New Roman"/>
          <w:b/>
          <w:color w:val="000000"/>
          <w:sz w:val="22"/>
        </w:rPr>
        <w:t>Process</w:t>
      </w:r>
      <w:r>
        <w:rPr>
          <w:rFonts w:ascii="Times New Roman" w:hAnsi="Times New Roman"/>
          <w:color w:val="000000"/>
          <w:sz w:val="22"/>
        </w:rPr>
        <w:t>” or “</w:t>
      </w:r>
      <w:r>
        <w:rPr>
          <w:rFonts w:ascii="Times New Roman" w:hAnsi="Times New Roman"/>
          <w:b/>
          <w:color w:val="000000"/>
          <w:sz w:val="22"/>
        </w:rPr>
        <w:t>Processing</w:t>
      </w:r>
      <w:r>
        <w:rPr>
          <w:rFonts w:ascii="Times New Roman" w:hAnsi="Times New Roman"/>
          <w:color w:val="000000"/>
          <w:sz w:val="22"/>
        </w:rPr>
        <w:t>”) of Personal Data, including without limitation HIPAA, the EU General Data Protection Regulation (“</w:t>
      </w:r>
      <w:r>
        <w:rPr>
          <w:rFonts w:ascii="Times New Roman" w:hAnsi="Times New Roman"/>
          <w:b/>
          <w:color w:val="000000"/>
          <w:sz w:val="22"/>
        </w:rPr>
        <w:t>GDPR</w:t>
      </w:r>
      <w:r>
        <w:rPr>
          <w:rFonts w:ascii="Times New Roman" w:hAnsi="Times New Roman"/>
          <w:color w:val="000000"/>
          <w:sz w:val="22"/>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color w:val="000000"/>
          <w:sz w:val="22"/>
        </w:rPr>
        <w:t>Privacy Laws</w:t>
      </w:r>
      <w:r>
        <w:rPr>
          <w:rFonts w:ascii="Times New Roman" w:hAnsi="Times New Roman"/>
          <w:color w:val="000000"/>
          <w:sz w:val="22"/>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color w:val="000000"/>
          <w:sz w:val="22"/>
        </w:rPr>
        <w:t>Privacy Statements</w:t>
      </w:r>
      <w:r>
        <w:rPr>
          <w:rFonts w:ascii="Times New Roman" w:hAnsi="Times New Roman"/>
          <w:color w:val="000000"/>
          <w:sz w:val="22"/>
        </w:rPr>
        <w:t>”). The Company and its Subsidiaries have, except as would not reasonably be expected, individually or in the aggregate, to result in a Material Adverse Effect, at all times since December 31, 2024 provided accurate notice of their Privacy Statements then in effect to their customers, employees, third party vendors and representatives as required by any applicable Privacy Laws. None of such disclosures made or contained in any Privacy Statements have been materially inaccurate, misleading, incomplete, or in material violation of any Privacy Laws.</w:t>
      </w:r>
    </w:p>
    <w:p>
      <w:pPr>
        <w:pStyle w:val="TextBody"/>
        <w:bidi w:val="0"/>
        <w:spacing w:before="0" w:after="240"/>
        <w:jc w:val="both"/>
        <w:rPr>
          <w:rFonts w:ascii="Times New Roman" w:hAnsi="Times New Roman"/>
          <w:sz w:val="20"/>
        </w:rPr>
      </w:pPr>
      <w:r>
        <w:rPr>
          <w:rFonts w:ascii="Times New Roman" w:hAnsi="Times New Roman"/>
          <w:color w:val="000000"/>
          <w:sz w:val="22"/>
        </w:rPr>
        <w:t>3.32</w:t>
      </w:r>
      <w:r>
        <w:rPr>
          <w:rFonts w:ascii="Times New Roman" w:hAnsi="Times New Roman"/>
          <w:color w:val="000000"/>
          <w:sz w:val="20"/>
        </w:rPr>
        <w:t xml:space="preserve"> </w:t>
      </w:r>
      <w:r>
        <w:rPr>
          <w:rFonts w:ascii="Times New Roman" w:hAnsi="Times New Roman"/>
          <w:color w:val="000000"/>
          <w:sz w:val="22"/>
          <w:u w:val="single"/>
        </w:rPr>
        <w:t>Transactions with Affiliates and Employees</w:t>
      </w:r>
      <w:r>
        <w:rPr>
          <w:rFonts w:ascii="Times New Roman" w:hAnsi="Times New Roman"/>
          <w:color w:val="000000"/>
          <w:sz w:val="22"/>
        </w:rPr>
        <w:t>. No relationship, direct or indirect, exists between or among the Company or any of its Subsidiaries, on the one hand, and the directors, officers, stockholders, customers or suppliers of the Company, on the other hand, that is required to have been described in the SEC Reports that has not been described.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3.33</w:t>
      </w:r>
      <w:r>
        <w:rPr>
          <w:rFonts w:ascii="Times New Roman" w:hAnsi="Times New Roman"/>
          <w:color w:val="000000"/>
          <w:sz w:val="20"/>
        </w:rPr>
        <w:t xml:space="preserve"> </w:t>
      </w:r>
      <w:r>
        <w:rPr>
          <w:rFonts w:ascii="Times New Roman" w:hAnsi="Times New Roman"/>
          <w:color w:val="000000"/>
          <w:sz w:val="22"/>
          <w:u w:val="single"/>
        </w:rPr>
        <w:t>Merger Agreement</w:t>
      </w:r>
      <w:r>
        <w:rPr>
          <w:rFonts w:ascii="Times New Roman" w:hAnsi="Times New Roman"/>
          <w:color w:val="000000"/>
          <w:sz w:val="22"/>
        </w:rPr>
        <w:t xml:space="preserve">. The Merger Agreement has been duly and validly authorized, executed and delivered by the Company, First Merger Sub and Second Merger Sub and, assuming due authorization, execution and delivery by the other parties thereto, constitutes a valid and binding agreement of the Company, First Merger Sub and Second Merger Sub enforceable against the Company, First Merger Sub and Second Merger Sub in accordance with its terms, except as enforceability may be limited by applicable bankruptcy, insolvency or similar laws affecting the enforcement of creditors’ rights generally or by equitable principles relating to enforceability. As of the date of the Merger Agreement and as of the date hereof (but, with respect to the representations and warranties of the Company and Prana contained in the Merger Agreement, without giving effect to the non-survival provisions of </w:t>
      </w:r>
      <w:r>
        <w:rPr>
          <w:rFonts w:ascii="Times New Roman" w:hAnsi="Times New Roman"/>
          <w:color w:val="000000"/>
          <w:sz w:val="22"/>
          <w:u w:val="single"/>
        </w:rPr>
        <w:t xml:space="preserve">Section </w:t>
      </w:r>
      <w:r>
        <w:rPr>
          <w:rFonts w:ascii="Times New Roman" w:hAnsi="Times New Roman"/>
          <w:color w:val="000000"/>
          <w:sz w:val="22"/>
        </w:rPr>
        <w:t xml:space="preserve">8.1 of the Merger Agreement), the representations and warranties of the Company contained in </w:t>
      </w:r>
      <w:r>
        <w:rPr>
          <w:rFonts w:ascii="Times New Roman" w:hAnsi="Times New Roman"/>
          <w:color w:val="000000"/>
          <w:sz w:val="22"/>
          <w:u w:val="single"/>
        </w:rPr>
        <w:t>Section 3</w:t>
      </w:r>
      <w:r>
        <w:rPr>
          <w:rFonts w:ascii="Times New Roman" w:hAnsi="Times New Roman"/>
          <w:color w:val="000000"/>
          <w:sz w:val="20"/>
        </w:rPr>
        <w:t xml:space="preserve"> </w:t>
      </w:r>
      <w:r>
        <w:rPr>
          <w:rFonts w:ascii="Times New Roman" w:hAnsi="Times New Roman"/>
          <w:color w:val="000000"/>
          <w:sz w:val="22"/>
        </w:rPr>
        <w:t xml:space="preserve">of the Merger Agreement (as qualified therein (including by the SEC Reports) and in the disclosure schedules thereto) were, as of the date of the Merger Agreement, and are, as of the date hereof, true and correct in all material respects (or, if any such representations or warranties are qualified by materiality, material adverse effect or similar language, true and correct in all respects). To the Company’s knowledge, the representations and warranties of Prana contained in </w:t>
      </w:r>
      <w:r>
        <w:rPr>
          <w:rFonts w:ascii="Times New Roman" w:hAnsi="Times New Roman"/>
          <w:color w:val="000000"/>
          <w:sz w:val="22"/>
          <w:u w:val="single"/>
        </w:rPr>
        <w:t>Section 2</w:t>
      </w:r>
      <w:r>
        <w:rPr>
          <w:rFonts w:ascii="Times New Roman" w:hAnsi="Times New Roman"/>
          <w:color w:val="000000"/>
          <w:sz w:val="20"/>
        </w:rPr>
        <w:t xml:space="preserve"> </w:t>
      </w:r>
      <w:r>
        <w:rPr>
          <w:rFonts w:ascii="Times New Roman" w:hAnsi="Times New Roman"/>
          <w:color w:val="000000"/>
          <w:sz w:val="22"/>
        </w:rPr>
        <w:t>of the Merger Agreement (as qualified therein and in the disclosure schedules thereto) were, as of the date of the Merger Agreement, and are, as of the date hereof, true and correct in all material respects (or, if any such representations or warranties are qualified by materiality, material adverse effect or similar language, true and correct in all respects).</w:t>
      </w:r>
    </w:p>
    <w:p>
      <w:pPr>
        <w:pStyle w:val="TextBody"/>
        <w:bidi w:val="0"/>
        <w:spacing w:before="0" w:after="240"/>
        <w:jc w:val="both"/>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r>
        <w:rPr>
          <w:rFonts w:ascii="Times New Roman" w:hAnsi="Times New Roman"/>
          <w:color w:val="000000"/>
          <w:sz w:val="22"/>
          <w:u w:val="single"/>
        </w:rPr>
        <w:t>Representations and Warranties of Each Investor</w:t>
      </w:r>
      <w:r>
        <w:rPr>
          <w:rFonts w:ascii="Times New Roman" w:hAnsi="Times New Roman"/>
          <w:color w:val="000000"/>
          <w:sz w:val="22"/>
        </w:rPr>
        <w:t xml:space="preserve">. Each Investor, severally for itself and not jointly with any other Investor (it being acknowledged and agreed that each reference to “the Investor” in this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 xml:space="preserve">shall be deemed to refer to such Investor and not any other Investor), represents and warrants to the Company and the Placement Agent that the statements contained in this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are true and correct as of the date of this Agreement and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4.1</w:t>
      </w:r>
      <w:r>
        <w:rPr>
          <w:rFonts w:ascii="Times New Roman" w:hAnsi="Times New Roman"/>
          <w:color w:val="000000"/>
          <w:sz w:val="20"/>
        </w:rPr>
        <w:t xml:space="preserve"> </w:t>
      </w:r>
      <w:r>
        <w:rPr>
          <w:rFonts w:ascii="Times New Roman" w:hAnsi="Times New Roman"/>
          <w:color w:val="000000"/>
          <w:sz w:val="22"/>
          <w:u w:val="single"/>
        </w:rPr>
        <w:t>Organization</w:t>
      </w:r>
      <w:r>
        <w:rPr>
          <w:rFonts w:ascii="Times New Roman" w:hAnsi="Times New Roman"/>
          <w:color w:val="000000"/>
          <w:sz w:val="22"/>
        </w:rPr>
        <w:t>. The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4.2</w:t>
      </w:r>
      <w:r>
        <w:rPr>
          <w:rFonts w:ascii="Times New Roman" w:hAnsi="Times New Roman"/>
          <w:color w:val="000000"/>
          <w:sz w:val="20"/>
        </w:rPr>
        <w:t xml:space="preserve"> </w:t>
      </w:r>
      <w:r>
        <w:rPr>
          <w:rFonts w:ascii="Times New Roman" w:hAnsi="Times New Roman"/>
          <w:color w:val="000000"/>
          <w:sz w:val="22"/>
          <w:u w:val="single"/>
        </w:rPr>
        <w:t>Authorization</w:t>
      </w:r>
      <w:r>
        <w:rPr>
          <w:rFonts w:ascii="Times New Roman" w:hAnsi="Times New Roman"/>
          <w:color w:val="000000"/>
          <w:sz w:val="22"/>
        </w:rPr>
        <w:t>. The Investor has all requisite corporate or similar power and authority to enter into this Agreement and the other Transaction Documents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Documents to which it will be a party and the consummation of the other transactions contemplated in this Agreement has been taken. The execution, delivery and performance by such Investor of the Transaction Documents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240"/>
        <w:jc w:val="both"/>
        <w:rPr>
          <w:rFonts w:ascii="Times New Roman" w:hAnsi="Times New Roman"/>
          <w:sz w:val="20"/>
        </w:rPr>
      </w:pPr>
      <w:r>
        <w:rPr>
          <w:rFonts w:ascii="Times New Roman" w:hAnsi="Times New Roman"/>
          <w:color w:val="000000"/>
          <w:sz w:val="22"/>
        </w:rPr>
        <w:t>4.3</w:t>
      </w:r>
      <w:r>
        <w:rPr>
          <w:rFonts w:ascii="Times New Roman" w:hAnsi="Times New Roman"/>
          <w:color w:val="000000"/>
          <w:sz w:val="20"/>
        </w:rPr>
        <w:t xml:space="preserve"> </w:t>
      </w:r>
      <w:r>
        <w:rPr>
          <w:rFonts w:ascii="Times New Roman" w:hAnsi="Times New Roman"/>
          <w:color w:val="000000"/>
          <w:sz w:val="22"/>
          <w:u w:val="single"/>
        </w:rPr>
        <w:t>No Conflicts</w:t>
      </w:r>
      <w:r>
        <w:rPr>
          <w:rFonts w:ascii="Times New Roman" w:hAnsi="Times New Roman"/>
          <w:color w:val="000000"/>
          <w:sz w:val="22"/>
        </w:rPr>
        <w:t>. The execution, delivery and performance of the Transaction Documents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hinder the ability of the Investor to perform its obligations under the Transaction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4.4</w:t>
      </w:r>
      <w:r>
        <w:rPr>
          <w:rFonts w:ascii="Times New Roman" w:hAnsi="Times New Roman"/>
          <w:color w:val="000000"/>
          <w:sz w:val="20"/>
        </w:rPr>
        <w:t xml:space="preserve"> </w:t>
      </w:r>
      <w:r>
        <w:rPr>
          <w:rFonts w:ascii="Times New Roman" w:hAnsi="Times New Roman"/>
          <w:color w:val="000000"/>
          <w:sz w:val="22"/>
          <w:u w:val="single"/>
        </w:rPr>
        <w:t>Residency</w:t>
      </w:r>
      <w:r>
        <w:rPr>
          <w:rFonts w:ascii="Times New Roman" w:hAnsi="Times New Roman"/>
          <w:color w:val="000000"/>
          <w:sz w:val="22"/>
        </w:rPr>
        <w:t>. The Investor’s residence (if an individual) or offices in which its investment decision with respect to the Securities was made (if an entity) are located at the address immediately below the Investor’s name on the pertinent signature page of this Agreement, except as otherwise communicated in writing by the Investor to the Company and the Placement Agent.</w:t>
      </w:r>
    </w:p>
    <w:p>
      <w:pPr>
        <w:pStyle w:val="TextBody"/>
        <w:bidi w:val="0"/>
        <w:spacing w:before="0" w:after="240"/>
        <w:jc w:val="both"/>
        <w:rPr>
          <w:rFonts w:ascii="Times New Roman" w:hAnsi="Times New Roman"/>
          <w:sz w:val="20"/>
        </w:rPr>
      </w:pPr>
      <w:r>
        <w:rPr>
          <w:rFonts w:ascii="Times New Roman" w:hAnsi="Times New Roman"/>
          <w:color w:val="000000"/>
          <w:sz w:val="22"/>
        </w:rPr>
        <w:t>4.5</w:t>
      </w:r>
      <w:r>
        <w:rPr>
          <w:rFonts w:ascii="Times New Roman" w:hAnsi="Times New Roman"/>
          <w:color w:val="000000"/>
          <w:sz w:val="20"/>
        </w:rPr>
        <w:t xml:space="preserve"> </w:t>
      </w:r>
      <w:r>
        <w:rPr>
          <w:rFonts w:ascii="Times New Roman" w:hAnsi="Times New Roman"/>
          <w:color w:val="000000"/>
          <w:sz w:val="22"/>
          <w:u w:val="single"/>
        </w:rPr>
        <w:t>Brokers and Finders</w:t>
      </w:r>
      <w:r>
        <w:rPr>
          <w:rFonts w:ascii="Times New Roman" w:hAnsi="Times New Roman"/>
          <w:color w:val="000000"/>
          <w:sz w:val="22"/>
        </w:rPr>
        <w:t>. Neither the Investor nor any other Person authorized by the Investor to act on its behalf has retained, utilized or been represented by any broker or finder in connection with the transactions contemplated by this Agreement whose fees the Company would be required to pay.</w:t>
      </w:r>
    </w:p>
    <w:p>
      <w:pPr>
        <w:pStyle w:val="TextBody"/>
        <w:bidi w:val="0"/>
        <w:spacing w:before="0" w:after="240"/>
        <w:jc w:val="both"/>
        <w:rPr>
          <w:rFonts w:ascii="Times New Roman" w:hAnsi="Times New Roman"/>
          <w:sz w:val="20"/>
        </w:rPr>
      </w:pPr>
      <w:r>
        <w:rPr>
          <w:rFonts w:ascii="Times New Roman" w:hAnsi="Times New Roman"/>
          <w:color w:val="000000"/>
          <w:sz w:val="22"/>
        </w:rPr>
        <w:t>4.6</w:t>
      </w:r>
      <w:r>
        <w:rPr>
          <w:rFonts w:ascii="Times New Roman" w:hAnsi="Times New Roman"/>
          <w:color w:val="000000"/>
          <w:sz w:val="20"/>
        </w:rPr>
        <w:t xml:space="preserve"> </w:t>
      </w:r>
      <w:r>
        <w:rPr>
          <w:rFonts w:ascii="Times New Roman" w:hAnsi="Times New Roman"/>
          <w:color w:val="000000"/>
          <w:sz w:val="22"/>
          <w:u w:val="single"/>
        </w:rPr>
        <w:t>Investment Representations and Warranties</w:t>
      </w:r>
      <w:r>
        <w:rPr>
          <w:rFonts w:ascii="Times New Roman" w:hAnsi="Times New Roman"/>
          <w:color w:val="000000"/>
          <w:sz w:val="22"/>
        </w:rPr>
        <w:t>.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4.7</w:t>
      </w:r>
      <w:r>
        <w:rPr>
          <w:rFonts w:ascii="Times New Roman" w:hAnsi="Times New Roman"/>
          <w:color w:val="000000"/>
          <w:sz w:val="20"/>
        </w:rPr>
        <w:t xml:space="preserve"> </w:t>
      </w:r>
      <w:r>
        <w:rPr>
          <w:rFonts w:ascii="Times New Roman" w:hAnsi="Times New Roman"/>
          <w:color w:val="000000"/>
          <w:sz w:val="22"/>
          <w:u w:val="single"/>
        </w:rPr>
        <w:t>Intent</w:t>
      </w:r>
      <w:r>
        <w:rPr>
          <w:rFonts w:ascii="Times New Roman" w:hAnsi="Times New Roman"/>
          <w:color w:val="000000"/>
          <w:sz w:val="22"/>
        </w:rPr>
        <w:t>. The Investor is purchasing the Securities solely for investment purposes,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4.8</w:t>
      </w:r>
      <w:r>
        <w:rPr>
          <w:rFonts w:ascii="Times New Roman" w:hAnsi="Times New Roman"/>
          <w:color w:val="000000"/>
          <w:sz w:val="20"/>
        </w:rPr>
        <w:t xml:space="preserve"> </w:t>
      </w:r>
      <w:r>
        <w:rPr>
          <w:rFonts w:ascii="Times New Roman" w:hAnsi="Times New Roman"/>
          <w:color w:val="000000"/>
          <w:sz w:val="22"/>
          <w:u w:val="single"/>
        </w:rPr>
        <w:t>Investment Experience; Ability to Protect Its Own Interests and Bear Economic Risks</w:t>
      </w:r>
      <w:r>
        <w:rPr>
          <w:rFonts w:ascii="Times New Roman" w:hAnsi="Times New Roman"/>
          <w:color w:val="000000"/>
          <w:sz w:val="22"/>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without reliance on the Placement Agent or any of its Affiliates, or any control persons, officers, directors, employees, agents, or representatives of any of the foregoing. The Investor understands and acknowledges that the purchase and sale of the Securities hereunder meets the exemptions from filing under FINRA Rule 5123(b)(1) by the Placement Agent.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pStyle w:val="TextBody"/>
        <w:bidi w:val="0"/>
        <w:spacing w:before="0" w:after="240"/>
        <w:jc w:val="both"/>
        <w:rPr>
          <w:rFonts w:ascii="Times New Roman" w:hAnsi="Times New Roman"/>
          <w:sz w:val="20"/>
        </w:rPr>
      </w:pPr>
      <w:r>
        <w:rPr>
          <w:rFonts w:ascii="Times New Roman" w:hAnsi="Times New Roman"/>
          <w:color w:val="000000"/>
          <w:sz w:val="22"/>
        </w:rPr>
        <w:t>4.9</w:t>
      </w:r>
      <w:r>
        <w:rPr>
          <w:rFonts w:ascii="Times New Roman" w:hAnsi="Times New Roman"/>
          <w:color w:val="000000"/>
          <w:sz w:val="20"/>
        </w:rPr>
        <w:t xml:space="preserve"> </w:t>
      </w:r>
      <w:r>
        <w:rPr>
          <w:rFonts w:ascii="Times New Roman" w:hAnsi="Times New Roman"/>
          <w:color w:val="000000"/>
          <w:sz w:val="22"/>
          <w:u w:val="single"/>
        </w:rPr>
        <w:t>Independent Investment Decision</w:t>
      </w:r>
      <w:r>
        <w:rPr>
          <w:rFonts w:ascii="Times New Roman" w:hAnsi="Times New Roman"/>
          <w:color w:val="000000"/>
          <w:sz w:val="22"/>
        </w:rPr>
        <w:t>. The Investor understands that nothing in the Transaction Documents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pStyle w:val="TextBody"/>
        <w:bidi w:val="0"/>
        <w:spacing w:before="0" w:after="240"/>
        <w:jc w:val="both"/>
        <w:rPr>
          <w:rFonts w:ascii="Times New Roman" w:hAnsi="Times New Roman"/>
          <w:sz w:val="20"/>
        </w:rPr>
      </w:pPr>
      <w:r>
        <w:rPr>
          <w:rFonts w:ascii="Times New Roman" w:hAnsi="Times New Roman"/>
          <w:color w:val="000000"/>
          <w:sz w:val="22"/>
        </w:rPr>
        <w:t>4.10</w:t>
      </w:r>
      <w:r>
        <w:rPr>
          <w:rFonts w:ascii="Times New Roman" w:hAnsi="Times New Roman"/>
          <w:color w:val="000000"/>
          <w:sz w:val="20"/>
        </w:rPr>
        <w:t xml:space="preserve"> </w:t>
      </w:r>
      <w:r>
        <w:rPr>
          <w:rFonts w:ascii="Times New Roman" w:hAnsi="Times New Roman"/>
          <w:color w:val="000000"/>
          <w:sz w:val="22"/>
          <w:u w:val="single"/>
        </w:rPr>
        <w:t>Securities Not Registered; Legends</w:t>
      </w:r>
      <w:r>
        <w:rPr>
          <w:rFonts w:ascii="Times New Roman" w:hAnsi="Times New Roman"/>
          <w:color w:val="000000"/>
          <w:sz w:val="22"/>
        </w:rPr>
        <w:t>.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(the provisions of which are known to it) promulgated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other disposition of any of the Securities. The Investor acknowledges that no federal or state agency has passed upon or endorsed the merits of the offering of the Securities or made any findings or determination as to the fairness of this investment. Notwithstanding the foregoing, the Company agrees that, in connection with any sale, assignment, transfer or other disposition of Securities by the Investor pursuant to Rule 144 in accordance with the terms of this Agreement, the Company shall not require the Investor to provide an opinion of counsel in order to effect the removal of any restrictive legend from, or to remove any restrictive notation with respect to, such Securities, unless the availability of such exemption or the compliance of such sale, assignment, transfer or other disposition with the requirements of Rule 144 is not reasonably satisfactory to the Company, in which case the Company may require, at the Investor's sole cost and expense, an opinion of counsel reasonably satisfactory to the Company to the effect that such sale, assignment, transfer or other disposition may be made without registration under the Securities Act.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Investor understands that any certificates or book entry notations evidencing the Securities may bear one or more legends in substantially the following form and substance:</w:t>
      </w:r>
    </w:p>
    <w:p>
      <w:pPr>
        <w:pStyle w:val="TextBody"/>
        <w:bidi w:val="0"/>
        <w:spacing w:before="0" w:after="240"/>
        <w:jc w:val="both"/>
        <w:rPr>
          <w:color w:val="000000"/>
        </w:rPr>
      </w:pPr>
      <w:r>
        <w:rPr>
          <w:color w:val="000000"/>
        </w:rPr>
        <w:t>“</w:t>
      </w:r>
      <w:r>
        <w:rPr>
          <w:rFonts w:ascii="Times New Roman" w:hAnsi="Times New Roman"/>
          <w:color w:val="000000"/>
          <w:sz w:val="22"/>
        </w:rPr>
        <w:t>THE SECURITIES REPRESENTED HEREBY, INCLUDING ANY SECURITIES ISSUABLE UPON THE CONVERSION OF SUCH SECURITIES, HAVE NOT BEEN REGISTERED UNDER THE SECURITIES ACT OF 1933, AS AMENDED (THE “SECURITIES ACT”), OR THE SECURITIES LAWS OF ANY STATE OF THE UNITED STATES OR ANY OTHER JURISDICTION. THE SECURITIES HAVE BEEN ACQUIRED FOR INVESTMENT AND MAY NOT BE OFFERED, SOLD, TRANSFERRED, ASSIGNED OR OTHERWISE DISPOSED OF EXCEPT PURSUANT TO (I) AN EFFECTIVE REGISTRATION STATEMENT UNDER THE SECURITIES ACT OR (II) AN AVAILABLE EXEMPTION FROM SUCH REGISTRATION AND THE DELIVERY TO THE COMPANY OF AN OPINION OF COUNSEL REASONABLY SATISFACTORY TO IT THAT SUCH REGISTRATION IS NOT REQUIRED. NOTWITHSTANDING THE FOREGOING, THE SECURITIES REPRESENTED HEREBY AND ANY SECURITIES ISSUABLE UPON THE CONVERSION OF SUCH SECURITIES MAY BE (A) PLEDGED IN CONNECTION WITH A BONA FIDE MARGIN ACCOUNT OR OTHER LOAN OR FINANCING ARRANGEMENT SECURED BY THE SECURITIES OR (B) TRANSFERRED WITHOUT CONSIDERATION TO AN AFFILIATE OF SUCH HOLDER OR A CUSTODIAL NOMINEE, IN EACH CASE WITHOUT THE REQUIREMENT TO OBTAIN AN OPINION OF COUNSEL OR CONSENT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the Securities may contain a legend regarding affiliate status of the Investor, if applicable.</w:t>
      </w:r>
    </w:p>
    <w:p>
      <w:pPr>
        <w:pStyle w:val="TextBody"/>
        <w:bidi w:val="0"/>
        <w:spacing w:before="0" w:after="240"/>
        <w:jc w:val="both"/>
        <w:rPr>
          <w:rFonts w:ascii="Times New Roman" w:hAnsi="Times New Roman"/>
          <w:sz w:val="20"/>
        </w:rPr>
      </w:pPr>
      <w:r>
        <w:rPr>
          <w:rFonts w:ascii="Times New Roman" w:hAnsi="Times New Roman"/>
          <w:color w:val="000000"/>
          <w:sz w:val="22"/>
        </w:rPr>
        <w:t>4.11</w:t>
      </w:r>
      <w:r>
        <w:rPr>
          <w:rFonts w:ascii="Times New Roman" w:hAnsi="Times New Roman"/>
          <w:color w:val="000000"/>
          <w:sz w:val="20"/>
        </w:rPr>
        <w:t xml:space="preserve"> </w:t>
      </w:r>
      <w:r>
        <w:rPr>
          <w:rFonts w:ascii="Times New Roman" w:hAnsi="Times New Roman"/>
          <w:color w:val="000000"/>
          <w:sz w:val="22"/>
          <w:u w:val="single"/>
        </w:rPr>
        <w:t>No General Solicitation</w:t>
      </w:r>
      <w:r>
        <w:rPr>
          <w:rFonts w:ascii="Times New Roman" w:hAnsi="Times New Roman"/>
          <w:color w:val="000000"/>
          <w:sz w:val="22"/>
        </w:rPr>
        <w:t>. The Investor acknowledges and agrees that the Investor is purchasing the Securities directly from the Company. Investor became aware of this offering of the Securities solely by means of direct contact from the Placement Agent or directly from Prana or the Company as a result of a pre-existing, substantive relationship with Prana, the Company or the Placement Agent,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the Placement Agent and/or their respective representatives. Investor did not become aware of this offering of the Securities, nor were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Securities offered to Investor, by any other means, and none of the Company, Prana, the Placement Agent and/or their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Rule 502(c) of Regulation D under the Securities Act. </w:t>
      </w:r>
    </w:p>
    <w:p>
      <w:pPr>
        <w:pStyle w:val="TextBody"/>
        <w:bidi w:val="0"/>
        <w:spacing w:before="0" w:after="240"/>
        <w:jc w:val="both"/>
        <w:rPr>
          <w:rFonts w:ascii="Times New Roman" w:hAnsi="Times New Roman"/>
          <w:sz w:val="20"/>
        </w:rPr>
      </w:pPr>
      <w:r>
        <w:rPr>
          <w:rFonts w:ascii="Times New Roman" w:hAnsi="Times New Roman"/>
          <w:color w:val="000000"/>
          <w:sz w:val="22"/>
        </w:rPr>
        <w:t>4.12</w:t>
      </w:r>
      <w:r>
        <w:rPr>
          <w:rFonts w:ascii="Times New Roman" w:hAnsi="Times New Roman"/>
          <w:color w:val="000000"/>
          <w:sz w:val="20"/>
        </w:rPr>
        <w:t xml:space="preserve"> </w:t>
      </w:r>
      <w:r>
        <w:rPr>
          <w:rFonts w:ascii="Times New Roman" w:hAnsi="Times New Roman"/>
          <w:color w:val="000000"/>
          <w:sz w:val="22"/>
          <w:u w:val="single"/>
        </w:rPr>
        <w:t>Access to Information</w:t>
      </w:r>
      <w:r>
        <w:rPr>
          <w:rFonts w:ascii="Times New Roman" w:hAnsi="Times New Roman"/>
          <w:color w:val="000000"/>
          <w:sz w:val="22"/>
        </w:rPr>
        <w:t>. In making its decision to purchase the Securities, such Investor has relied solely upon independent investigation made by such Investor, upon the SEC Reports and upon the representations, warranties and covenants set forth herein. Such Investor acknowledges and agrees that such investor has received such information as it deems necessary in order to make an investment decision with respect to the Preferred Shares, including, with respect to the Company, and that such Investor and the Investor’s professional advisor(s), if any, have had the opportunity to ask such questions, receive such answers and obtain such information from the Company and Prana regarding the Company, Prana, their respective businesses and the terms and conditions of the offering of the Securities, the Merger and the Merger Agreement as the Investor and the Investor’s professional advisor(s), if any, have deemed necessary to make an investment decision with respect to the Securities and that the Investor has independently made its own analysis and decision to invest in the Securities. Neither such inquiries nor any other due diligence investigation conducted by the Investor shall modify, limit or otherwise affect the Investor’s right to rely on the Company’s representations and warranties contained in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4.13</w:t>
      </w:r>
      <w:r>
        <w:rPr>
          <w:rFonts w:ascii="Times New Roman" w:hAnsi="Times New Roman"/>
          <w:color w:val="000000"/>
          <w:sz w:val="20"/>
        </w:rPr>
        <w:t xml:space="preserve"> </w:t>
      </w:r>
      <w:r>
        <w:rPr>
          <w:rFonts w:ascii="Times New Roman" w:hAnsi="Times New Roman"/>
          <w:color w:val="000000"/>
          <w:sz w:val="22"/>
          <w:u w:val="single"/>
        </w:rPr>
        <w:t>Certain Trading Activities</w:t>
      </w:r>
      <w:r>
        <w:rPr>
          <w:rFonts w:ascii="Times New Roman" w:hAnsi="Times New Roman"/>
          <w:color w:val="000000"/>
          <w:sz w:val="22"/>
        </w:rPr>
        <w:t>. Other than consummating the transactions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first received information identifying the Company (excluding receipt by members of the Investor's legal and compliance team serving in a "control room" function) in connection with the transaction contemplated hereby and ending immediately prior to the execution and delivery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4.14</w:t>
      </w:r>
      <w:r>
        <w:rPr>
          <w:rFonts w:ascii="Times New Roman" w:hAnsi="Times New Roman"/>
          <w:color w:val="000000"/>
          <w:sz w:val="20"/>
        </w:rPr>
        <w:t xml:space="preserve"> </w:t>
      </w:r>
      <w:r>
        <w:rPr>
          <w:rFonts w:ascii="Times New Roman" w:hAnsi="Times New Roman"/>
          <w:color w:val="000000"/>
          <w:sz w:val="22"/>
          <w:u w:val="single"/>
        </w:rPr>
        <w:t>Disclaimer of Other Representations or Warranties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Except as set forth in </w:t>
      </w:r>
      <w:r>
        <w:rPr>
          <w:rFonts w:ascii="Times New Roman" w:hAnsi="Times New Roman"/>
          <w:color w:val="000000"/>
          <w:sz w:val="22"/>
          <w:u w:val="single"/>
        </w:rPr>
        <w:t>Section 3</w:t>
      </w:r>
      <w:r>
        <w:rPr>
          <w:rFonts w:ascii="Times New Roman" w:hAnsi="Times New Roman"/>
          <w:color w:val="000000"/>
          <w:sz w:val="22"/>
        </w:rPr>
        <w:t>or in any certificate delivered by the Company pursuant to this Agreement, the Investor understands, acknowledges, and agrees that the Company makes no representation or warranty, express or implied, at law or in equity, with respect to itself, the Merger Agreement, the transactions contemplated thereby, Prana or any of the Company’s or Prana’s (or any of their respective Subsidiaries’) assets, liabilities or operations, and any such other representations or warranties are hereby expressly disclaimed.</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Investor acknowledges and agrees that, except for the representations and warranties of the Company set forth in </w:t>
      </w:r>
      <w:r>
        <w:rPr>
          <w:rFonts w:ascii="Times New Roman" w:hAnsi="Times New Roman"/>
          <w:color w:val="000000"/>
          <w:sz w:val="22"/>
          <w:u w:val="single"/>
        </w:rPr>
        <w:t>Section 3</w:t>
      </w:r>
      <w:r>
        <w:rPr>
          <w:rFonts w:ascii="Times New Roman" w:hAnsi="Times New Roman"/>
          <w:color w:val="000000"/>
          <w:sz w:val="20"/>
        </w:rPr>
        <w:t xml:space="preserve"> </w:t>
      </w:r>
      <w:r>
        <w:rPr>
          <w:rFonts w:ascii="Times New Roman" w:hAnsi="Times New Roman"/>
          <w:color w:val="000000"/>
          <w:sz w:val="22"/>
        </w:rPr>
        <w:t xml:space="preserve">or in any certificate delivered by the Company to the Investors pursuant to this Agreement, neither the Investor nor any of its representatives is relying on any other representation or warranty of the Company or any other Person made outside of </w:t>
      </w:r>
      <w:r>
        <w:rPr>
          <w:rFonts w:ascii="Times New Roman" w:hAnsi="Times New Roman"/>
          <w:color w:val="000000"/>
          <w:sz w:val="22"/>
          <w:u w:val="single"/>
        </w:rPr>
        <w:t>Section 3</w:t>
      </w:r>
      <w:r>
        <w:rPr>
          <w:rFonts w:ascii="Times New Roman" w:hAnsi="Times New Roman"/>
          <w:color w:val="000000"/>
          <w:sz w:val="20"/>
        </w:rPr>
        <w:t xml:space="preserve"> </w:t>
      </w:r>
      <w:r>
        <w:rPr>
          <w:rFonts w:ascii="Times New Roman" w:hAnsi="Times New Roman"/>
          <w:color w:val="000000"/>
          <w:sz w:val="22"/>
        </w:rPr>
        <w:t>or such certificate, including regarding the accuracy or completeness of any such other representations or warranties or the omission of any material information, whether express or implied, in each case, with respect to the transactions contemplated by this Agreement or by the Merger Agreement.</w:t>
      </w:r>
    </w:p>
    <w:p>
      <w:pPr>
        <w:pStyle w:val="TextBody"/>
        <w:bidi w:val="0"/>
        <w:spacing w:before="0" w:after="240"/>
        <w:jc w:val="both"/>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color w:val="000000"/>
          <w:sz w:val="22"/>
          <w:u w:val="single"/>
        </w:rPr>
        <w:t>Covenants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5.1</w:t>
      </w:r>
      <w:r>
        <w:rPr>
          <w:rFonts w:ascii="Times New Roman" w:hAnsi="Times New Roman"/>
          <w:color w:val="000000"/>
          <w:sz w:val="20"/>
        </w:rPr>
        <w:t xml:space="preserve"> </w:t>
      </w:r>
      <w:r>
        <w:rPr>
          <w:rFonts w:ascii="Times New Roman" w:hAnsi="Times New Roman"/>
          <w:color w:val="000000"/>
          <w:sz w:val="22"/>
          <w:u w:val="single"/>
        </w:rPr>
        <w:t>Further Assurances</w:t>
      </w:r>
      <w:r>
        <w:rPr>
          <w:rFonts w:ascii="Times New Roman" w:hAnsi="Times New Roman"/>
          <w:color w:val="000000"/>
          <w:sz w:val="22"/>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of this Agreement are no longer accurate. The Company shall promptly notify the Investors and the Placement Agent if any of the acknowledgments, understandings, agreements, representations and warranties set forth in Section 3 of this Agreement are no longer accurate.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5.2</w:t>
      </w:r>
      <w:r>
        <w:rPr>
          <w:rFonts w:ascii="Times New Roman" w:hAnsi="Times New Roman"/>
          <w:color w:val="000000"/>
          <w:sz w:val="20"/>
        </w:rPr>
        <w:t xml:space="preserve"> </w:t>
      </w:r>
      <w:r>
        <w:rPr>
          <w:rFonts w:ascii="Times New Roman" w:hAnsi="Times New Roman"/>
          <w:color w:val="000000"/>
          <w:sz w:val="22"/>
          <w:u w:val="single"/>
        </w:rPr>
        <w:t>Listing</w:t>
      </w:r>
      <w:r>
        <w:rPr>
          <w:rFonts w:ascii="Times New Roman" w:hAnsi="Times New Roman"/>
          <w:color w:val="000000"/>
          <w:sz w:val="22"/>
        </w:rPr>
        <w:t>. The Company shall use its reasonable best efforts to maintain the listing and trading of its Common Stock on the Nasdaq Capital Market and, in accordance therewith, will use its reasonable best efforts to comply in all material respects with the Company’s reporting, filing and other obligations under the rules and regulations of Nasdaq. The Company shall use its reasonable best efforts to timely submit the notifications and applications required by Nasdaq in connection with the Merger, the Preferred Shares and the Conversion Shares and to obtain each required approval before the time required by applicable Nasdaq rules. Following the Requisite Stockholder Approval, the Company shall use its reasonable best efforts promptly to cause all Conversion Shares to be approved for listing, subject only to official notice of issuance.</w:t>
      </w:r>
    </w:p>
    <w:p>
      <w:pPr>
        <w:pStyle w:val="TextBody"/>
        <w:bidi w:val="0"/>
        <w:spacing w:before="0" w:after="240"/>
        <w:jc w:val="both"/>
        <w:rPr>
          <w:rFonts w:ascii="Times New Roman" w:hAnsi="Times New Roman"/>
          <w:sz w:val="20"/>
        </w:rPr>
      </w:pPr>
      <w:r>
        <w:rPr>
          <w:rFonts w:ascii="Times New Roman" w:hAnsi="Times New Roman"/>
          <w:color w:val="000000"/>
          <w:sz w:val="22"/>
        </w:rPr>
        <w:t>5.3</w:t>
      </w:r>
      <w:r>
        <w:rPr>
          <w:rFonts w:ascii="Times New Roman" w:hAnsi="Times New Roman"/>
          <w:color w:val="000000"/>
          <w:sz w:val="20"/>
        </w:rPr>
        <w:t xml:space="preserve"> </w:t>
      </w:r>
      <w:r>
        <w:rPr>
          <w:rFonts w:ascii="Times New Roman" w:hAnsi="Times New Roman"/>
          <w:color w:val="000000"/>
          <w:sz w:val="22"/>
          <w:u w:val="single"/>
        </w:rPr>
        <w:t>Disclosure of Transactions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The Company shall, by 9:00 a.m., New York City time, on the first (1st) Business Day immediately following the later of the date of this Agreement and the date of the Merger Agreement (the “</w:t>
      </w:r>
      <w:r>
        <w:rPr>
          <w:rFonts w:ascii="Times New Roman" w:hAnsi="Times New Roman"/>
          <w:b/>
          <w:color w:val="000000"/>
          <w:sz w:val="22"/>
        </w:rPr>
        <w:t>Disclosure Time</w:t>
      </w:r>
      <w:r>
        <w:rPr>
          <w:rFonts w:ascii="Times New Roman" w:hAnsi="Times New Roman"/>
          <w:color w:val="000000"/>
          <w:sz w:val="20"/>
        </w:rPr>
        <w:t>”</w:t>
      </w:r>
      <w:r>
        <w:rPr>
          <w:rFonts w:ascii="Times New Roman" w:hAnsi="Times New Roman"/>
          <w:color w:val="000000"/>
          <w:sz w:val="22"/>
        </w:rPr>
        <w:t>), issue a press release and file with the SEC a Current Report on Form 8-K (including, if applicable, all exhibits thereto, the “</w:t>
      </w:r>
      <w:r>
        <w:rPr>
          <w:rFonts w:ascii="Times New Roman" w:hAnsi="Times New Roman"/>
          <w:b/>
          <w:color w:val="000000"/>
          <w:sz w:val="22"/>
        </w:rPr>
        <w:t>Disclosure Document</w:t>
      </w:r>
      <w:r>
        <w:rPr>
          <w:rFonts w:ascii="Times New Roman" w:hAnsi="Times New Roman"/>
          <w:color w:val="000000"/>
          <w:sz w:val="20"/>
        </w:rPr>
        <w:t>”</w:t>
      </w:r>
      <w:r>
        <w:rPr>
          <w:rFonts w:ascii="Times New Roman" w:hAnsi="Times New Roman"/>
          <w:color w:val="000000"/>
          <w:sz w:val="22"/>
        </w:rPr>
        <w:t>) disclosing (i) all material terms of the transactions contemplated hereby and by the other Transaction Documents and the Merger Agreement and, if the Disclosure Document is a Current Report on Form 8-K, attaching this Agreement, the other Transaction Documents and the Merger Agreement as exhibits to such Disclosure Document, and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(ii) any other material non-public information concerning the Company and Prana disclosed to the Investors. Following the issuance or filing of the Disclosure Document, no Investor, other than such Investors who have expressly consented to the receipt of material non-public information other than with respect to the Transaction Documents and the transactions contemplated thereby or otherwise received such material, non-public information in such Investor’s capacity as an officer or director of the Company or Prana or an Affiliate thereof, and agreed with the Company, Prana or any of their respective Subsidiaries to keep such other information confidential after the Disclosure Time, shall be in possession of any material non-public information concerning the Company disclosed to the Investors by the Company or its representatives. The Company understands and confirms that the Investors will rely on the foregoing representation in effecting securities transactions. In addition, unless it has already done so by filing the Disclosure Document, on or before the fourth (4th) Business Day following the date of this Agreement, the Company shall file with the SEC a Current Report on Form 8-K disclosing all material terms of the transactions contemplated by this Agreement. Notwithstanding anything in this Agreement to the contrary, the Company shall not publicly disclose the name of any Investor or any of its Affiliates or advisors, or include the name of any Investor or any of its Affiliates or advisors in any press release or filing with the SEC (other than as required to be so stated in any registration statement contemplated by the Registration Rights Agreement) or any regulatory agency, without the prior written consent of the Investor, except (i) as required by the federal securities law in connection with (A) any registration statement contemplated by the Registration Rights Agreement and (B) the filing of final Transaction Documents with the SEC or pursuant to other routine proceedings of regulatory authorities, or (ii) to the extent such disclosure is required by law, at the request of the staff of the SEC or regulatory agency or under the regulations of Nasdaq. The Company shall provide the Placement Agent a reasonable opportunity to review and comment on the Disclosure Document and any other public disclosure relating to the offering to be issued on or before the Closing before its release, without delaying any required disclosure deadline. Except as required by applicable law or regulation, no party shall use the name or logo of the Placement Agent in a public announcement concerning the offering without its prior written consent; where disclosure of its name is required, the disclosing party shall, to the extent legally permitted and reasonably practicable, provide advance notice and an opportunity to review the relevant disclosure. </w:t>
      </w:r>
    </w:p>
    <w:p>
      <w:pPr>
        <w:pStyle w:val="TextBody"/>
        <w:bidi w:val="0"/>
        <w:spacing w:before="0" w:after="240"/>
        <w:jc w:val="both"/>
        <w:rPr>
          <w:rFonts w:ascii="Times New Roman" w:hAnsi="Times New Roman"/>
          <w:sz w:val="20"/>
        </w:rPr>
      </w:pPr>
      <w:r>
        <w:rPr>
          <w:rFonts w:ascii="Times New Roman" w:hAnsi="Times New Roman"/>
          <w:color w:val="000000"/>
          <w:sz w:val="22"/>
        </w:rPr>
        <w:t>5.4</w:t>
      </w:r>
      <w:r>
        <w:rPr>
          <w:rFonts w:ascii="Times New Roman" w:hAnsi="Times New Roman"/>
          <w:color w:val="000000"/>
          <w:sz w:val="20"/>
        </w:rPr>
        <w:t xml:space="preserve"> </w:t>
      </w:r>
      <w:r>
        <w:rPr>
          <w:rFonts w:ascii="Times New Roman" w:hAnsi="Times New Roman"/>
          <w:color w:val="000000"/>
          <w:sz w:val="22"/>
          <w:u w:val="single"/>
        </w:rPr>
        <w:t>Integration</w:t>
      </w:r>
      <w:r>
        <w:rPr>
          <w:rFonts w:ascii="Times New Roman" w:hAnsi="Times New Roman"/>
          <w:color w:val="000000"/>
          <w:sz w:val="22"/>
        </w:rPr>
        <w:t>. The Company shall not, and shall use its commercially reasonable efforts to ensure that no Affiliate of the Company shall,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to the Investors, or (except for shares of Common Stock and Preferred Stock issuable pursuant to the Merger Agreement and any shares of Common Stock issuable upon the conversion thereof)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5.5</w:t>
      </w:r>
      <w:r>
        <w:rPr>
          <w:rFonts w:ascii="Times New Roman" w:hAnsi="Times New Roman"/>
          <w:color w:val="000000"/>
          <w:sz w:val="20"/>
        </w:rPr>
        <w:t xml:space="preserve"> </w:t>
      </w:r>
      <w:r>
        <w:rPr>
          <w:rFonts w:ascii="Times New Roman" w:hAnsi="Times New Roman"/>
          <w:color w:val="000000"/>
          <w:sz w:val="22"/>
          <w:u w:val="single"/>
        </w:rPr>
        <w:t>Removal of Legends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In connection with any sale, assignment, transfer or other disposition of the Conversion Shares or the Warrant Shares by an Investor pursuant to Rule 144 and upon compliance by the Investor with the requirements of this Agreement, if requested by the Investor by notice to the Company, the Company shall request the Transfer Agent to remove any restrictive legends on the certificates to be issued to the transferee or restrictive notation to such shares in the book entry account of the transferee to which such shares are transferred as soon as reasonably practicable following any such request therefor from the Investor, provided that the Company has timely received from the Investor customary representations and other documentation reasonably acceptable to the Company and the Transfer Agent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connection therewith. The Company shall be responsible for the fees of its Transfer Agent and its legal counsel associated with such legend removal.</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Subject in each case to receipt from the Investor by the Company, its counsel and the Transfer Agent of customary representations, covenants and other documentation reasonably requested by the Company, its counsel and the Transfer Agent in connection therewith, upon the earliest of such time as the Conversion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and without being subject to any volume or manner of sale limitations, the Company shall, in accordance with the provisions of this </w:t>
      </w:r>
      <w:r>
        <w:rPr>
          <w:rFonts w:ascii="Times New Roman" w:hAnsi="Times New Roman"/>
          <w:color w:val="000000"/>
          <w:sz w:val="22"/>
          <w:u w:val="single"/>
        </w:rPr>
        <w:t>Section 5.5(b)</w:t>
      </w:r>
      <w:r>
        <w:rPr>
          <w:rFonts w:ascii="Times New Roman" w:hAnsi="Times New Roman"/>
          <w:color w:val="000000"/>
          <w:sz w:val="20"/>
        </w:rPr>
        <w:t xml:space="preserve"> </w:t>
      </w:r>
      <w:r>
        <w:rPr>
          <w:rFonts w:ascii="Times New Roman" w:hAnsi="Times New Roman"/>
          <w:color w:val="000000"/>
          <w:sz w:val="22"/>
        </w:rPr>
        <w:t>and as soon as reasonably practicable (and in any event within three (3) Business Days) following any request therefor from an Investor accompanied by such customary and reasonably acceptable documentation referred to above, (A) deliver to the Transfer Agent irrevocable instructions that the Transfer Agent shall make a new, unlegended entry for such book entry shares, and (B) request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or (C) in the event that Conversion Shares are issued upon conversion of the Preferred Shares after the conditions set forth in clauses (i) and (iii) above have been satisfied (and subject to receipt from the Investor by the Company, its counsel and the Transfer Agent of customary representations, covenants and other documentation reasonably acceptable to the Company and the Transfer Agent in connection therewith), the Conversion Shares shall be issued without restrictive legends, other than any applicable affiliate or lock-up agreement legends.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5.6</w:t>
      </w:r>
      <w:r>
        <w:rPr>
          <w:rFonts w:ascii="Times New Roman" w:hAnsi="Times New Roman"/>
          <w:color w:val="000000"/>
          <w:sz w:val="20"/>
        </w:rPr>
        <w:t xml:space="preserve"> </w:t>
      </w:r>
      <w:r>
        <w:rPr>
          <w:rFonts w:ascii="Times New Roman" w:hAnsi="Times New Roman"/>
          <w:color w:val="000000"/>
          <w:sz w:val="22"/>
          <w:u w:val="single"/>
        </w:rPr>
        <w:t>Withholding Taxes</w:t>
      </w:r>
      <w:r>
        <w:rPr>
          <w:rFonts w:ascii="Times New Roman" w:hAnsi="Times New Roman"/>
          <w:color w:val="000000"/>
          <w:sz w:val="22"/>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240"/>
        <w:jc w:val="both"/>
        <w:rPr>
          <w:rFonts w:ascii="Times New Roman" w:hAnsi="Times New Roman"/>
          <w:sz w:val="20"/>
        </w:rPr>
      </w:pPr>
      <w:r>
        <w:rPr>
          <w:rFonts w:ascii="Times New Roman" w:hAnsi="Times New Roman"/>
          <w:color w:val="000000"/>
          <w:sz w:val="22"/>
        </w:rPr>
        <w:t>5.7</w:t>
      </w:r>
      <w:r>
        <w:rPr>
          <w:rFonts w:ascii="Times New Roman" w:hAnsi="Times New Roman"/>
          <w:color w:val="000000"/>
          <w:sz w:val="20"/>
        </w:rPr>
        <w:t xml:space="preserve"> </w:t>
      </w:r>
      <w:r>
        <w:rPr>
          <w:rFonts w:ascii="Times New Roman" w:hAnsi="Times New Roman"/>
          <w:color w:val="000000"/>
          <w:sz w:val="22"/>
          <w:u w:val="single"/>
        </w:rPr>
        <w:t>Fees and Commissions</w:t>
      </w:r>
      <w:r>
        <w:rPr>
          <w:rFonts w:ascii="Times New Roman" w:hAnsi="Times New Roman"/>
          <w:color w:val="000000"/>
          <w:sz w:val="22"/>
        </w:rPr>
        <w:t>. The Company shall be solely responsible for the payment of any placement agent’s fees, financial advisory fees, or broker’s commissions for Persons engaged by the Company and any other Person authorized by the Company to act on its behalf relating to or arising out of the transactions contemplated hereby, including, without limitation, any fees or commissions payable to the Placement Agent. For the avoidance of doubt, the Company shall have no responsibility for the payment of any placement agent’s fees, financial advisory fees, or broker’s commissions for any Persons engaged, or alleged to be engaged, by an Investor or any other Person authorized by any of them to act on its behalf). Each Investor shall be solely responsible for the fees and commissions of any broker, finder or adviser it engages.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5.8</w:t>
      </w:r>
      <w:r>
        <w:rPr>
          <w:rFonts w:ascii="Times New Roman" w:hAnsi="Times New Roman"/>
          <w:color w:val="000000"/>
          <w:sz w:val="20"/>
        </w:rPr>
        <w:t xml:space="preserve"> </w:t>
      </w:r>
      <w:r>
        <w:rPr>
          <w:rFonts w:ascii="Times New Roman" w:hAnsi="Times New Roman"/>
          <w:color w:val="000000"/>
          <w:sz w:val="22"/>
          <w:u w:val="single"/>
        </w:rPr>
        <w:t>No Conflicting Agreements</w:t>
      </w:r>
      <w:r>
        <w:rPr>
          <w:rFonts w:ascii="Times New Roman" w:hAnsi="Times New Roman"/>
          <w:color w:val="000000"/>
          <w:sz w:val="22"/>
        </w:rPr>
        <w:t>. The Company will not take any action, enter into any agreement or make any commitment that would conflict or interfere in any material respect with the Company’s obligations to the Investors under the Transaction Documents.</w:t>
      </w:r>
    </w:p>
    <w:p>
      <w:pPr>
        <w:pStyle w:val="TextBody"/>
        <w:bidi w:val="0"/>
        <w:spacing w:before="0" w:after="240"/>
        <w:jc w:val="both"/>
        <w:rPr>
          <w:rFonts w:ascii="Times New Roman" w:hAnsi="Times New Roman"/>
          <w:sz w:val="20"/>
        </w:rPr>
      </w:pPr>
      <w:r>
        <w:rPr>
          <w:rFonts w:ascii="Times New Roman" w:hAnsi="Times New Roman"/>
          <w:color w:val="000000"/>
          <w:sz w:val="22"/>
        </w:rPr>
        <w:t>5.9</w:t>
      </w:r>
      <w:r>
        <w:rPr>
          <w:rFonts w:ascii="Times New Roman" w:hAnsi="Times New Roman"/>
          <w:color w:val="000000"/>
          <w:sz w:val="20"/>
        </w:rPr>
        <w:t xml:space="preserve"> </w:t>
      </w:r>
      <w:r>
        <w:rPr>
          <w:rFonts w:ascii="Times New Roman" w:hAnsi="Times New Roman"/>
          <w:color w:val="000000"/>
          <w:sz w:val="22"/>
          <w:u w:val="single"/>
        </w:rPr>
        <w:t>Indemnification.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The Company agrees to indemnify and hold harmless each Investor and its Affiliates, and their respective directors, officers, trustees, members, managers, employees, investment advisors and agents (collectively, the “</w:t>
      </w:r>
      <w:r>
        <w:rPr>
          <w:rFonts w:ascii="Times New Roman" w:hAnsi="Times New Roman"/>
          <w:b/>
          <w:color w:val="000000"/>
          <w:sz w:val="22"/>
        </w:rPr>
        <w:t>Indemnified Persons</w:t>
      </w:r>
      <w:r>
        <w:rPr>
          <w:rFonts w:ascii="Times New Roman" w:hAnsi="Times New Roman"/>
          <w:color w:val="000000"/>
          <w:sz w:val="20"/>
        </w:rPr>
        <w:t>”</w:t>
      </w:r>
      <w:r>
        <w:rPr>
          <w:rFonts w:ascii="Times New Roman" w:hAnsi="Times New Roman"/>
          <w:color w:val="000000"/>
          <w:sz w:val="22"/>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of representation, warranty, covenant or agreement made by or to be performed on the part of the Company under the Transaction Documents or (ii) as a result of or arising out of any action, claim or proceeding, pending or threatened, against an Indemnified Person in any capacity by any third party (including a stockholder of the Company, whether directly or in a derivative capacity, who is not an Affiliate of the Indemnified Person) with respect to the transactions contemplated by the Transaction Agreements, in each case under clause (ii) only to the extent such action, claim or proceeding arises out of or relates to a breach by the Company of its representations, warranties, covenants or agreements under the Transaction Documents or the fraud, gross negligence or willful misconduct of the Company, and in each case will reimburse any such Indemnified Person for all such amounts as they are incurred by such Indemnified Person except to the extent such losses are finally judicially determined to have resulted from such Indemnified Person’s fraud, gross negligence or willful misconduct. The above notwithstanding, the Company shall not be liable under this </w:t>
      </w:r>
      <w:r>
        <w:rPr>
          <w:rFonts w:ascii="Times New Roman" w:hAnsi="Times New Roman"/>
          <w:color w:val="000000"/>
          <w:sz w:val="22"/>
          <w:u w:val="single"/>
        </w:rPr>
        <w:t>Section 5.9(a)</w:t>
      </w:r>
      <w:r>
        <w:rPr>
          <w:rFonts w:ascii="Times New Roman" w:hAnsi="Times New Roman"/>
          <w:color w:val="000000"/>
          <w:sz w:val="22"/>
        </w:rPr>
        <w:t xml:space="preserve">in respect of punitive, consequential, special or indirect damages of any kind or nature, including, without limitation, damages for lost profits or revenues.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Times New Roman" w:hAnsi="Times New Roman"/>
          <w:i/>
          <w:color w:val="000000"/>
          <w:sz w:val="22"/>
        </w:rPr>
        <w:t>provided</w:t>
      </w:r>
      <w:r>
        <w:rPr>
          <w:rFonts w:ascii="Times New Roman" w:hAnsi="Times New Roman"/>
          <w:color w:val="000000"/>
          <w:sz w:val="22"/>
        </w:rPr>
        <w:t xml:space="preserve">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240"/>
        <w:jc w:val="both"/>
        <w:rPr>
          <w:rFonts w:ascii="Times New Roman" w:hAnsi="Times New Roman"/>
          <w:sz w:val="20"/>
        </w:rPr>
      </w:pPr>
      <w:r>
        <w:rPr>
          <w:rFonts w:ascii="Times New Roman" w:hAnsi="Times New Roman"/>
          <w:color w:val="000000"/>
          <w:sz w:val="22"/>
        </w:rPr>
        <w:t>5.10</w:t>
      </w:r>
      <w:r>
        <w:rPr>
          <w:rFonts w:ascii="Times New Roman" w:hAnsi="Times New Roman"/>
          <w:color w:val="000000"/>
          <w:sz w:val="20"/>
        </w:rPr>
        <w:t xml:space="preserve"> </w:t>
      </w:r>
      <w:r>
        <w:rPr>
          <w:rFonts w:ascii="Times New Roman" w:hAnsi="Times New Roman"/>
          <w:color w:val="000000"/>
          <w:sz w:val="22"/>
          <w:u w:val="single"/>
        </w:rPr>
        <w:t>Beneficial Ownership Limitation</w:t>
      </w:r>
      <w:r>
        <w:rPr>
          <w:rFonts w:ascii="Times New Roman" w:hAnsi="Times New Roman"/>
          <w:color w:val="000000"/>
          <w:sz w:val="22"/>
        </w:rPr>
        <w:t xml:space="preserve">. The Company and each Investor hereby agree that such Investor’s initial Beneficial Ownership Limitation (as defined in the Certificate of Designation) will be as set forth on such Investor’s signature page to this Agreement; </w:t>
      </w:r>
      <w:r>
        <w:rPr>
          <w:rFonts w:ascii="Times New Roman" w:hAnsi="Times New Roman"/>
          <w:i/>
          <w:color w:val="000000"/>
          <w:sz w:val="22"/>
        </w:rPr>
        <w:t>provided</w:t>
      </w:r>
      <w:r>
        <w:rPr>
          <w:rFonts w:ascii="Times New Roman" w:hAnsi="Times New Roman"/>
          <w:color w:val="000000"/>
          <w:sz w:val="22"/>
        </w:rPr>
        <w:t>, that if the Investor fails to designate its Beneficial Ownership Limitation on its signature page hereto, such Investor’s Beneficial Ownership Limitation shall be deemed to be 9.99%. Each Investor’s Beneficial Ownership Limitation may thereafter only be changed in accordance with the provisions of the Certificate of Designation. For the avoidance of doubt, such Investor’s Beneficial Ownership Limitation shall also apply to the exercise of such Investor’s Warrants in accordance with the terms thereof.</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5.11</w:t>
      </w:r>
      <w:r>
        <w:rPr>
          <w:rFonts w:ascii="Times New Roman" w:hAnsi="Times New Roman"/>
          <w:color w:val="000000"/>
          <w:sz w:val="20"/>
        </w:rPr>
        <w:t xml:space="preserve"> </w:t>
      </w:r>
      <w:r>
        <w:rPr>
          <w:rFonts w:ascii="Times New Roman" w:hAnsi="Times New Roman"/>
          <w:color w:val="000000"/>
          <w:sz w:val="22"/>
          <w:u w:val="single"/>
        </w:rPr>
        <w:t>Subsequent Equity Sales</w:t>
      </w:r>
      <w:r>
        <w:rPr>
          <w:rFonts w:ascii="Times New Roman" w:hAnsi="Times New Roman"/>
          <w:color w:val="000000"/>
          <w:sz w:val="22"/>
        </w:rPr>
        <w:t xml:space="preserve">. From the date of this Agreement until the earlier of (a) sixty (60) days after the Closing Date and (b) the Business Day immediately following the effective date of the registration statement filed pursuant to the Registration Rights Agreement, the Company shall not (A) issue shares of Common Stock or Common Stock Equivalents or (B) file with the SEC a registration statement under the Securities Act relating to any shares of Common Stock or Common Stock Equivalents, in each case, except as contemplated by the Merger Agreement and the Registration Rights Agreement. Notwithstanding the foregoing, the provisions of this </w:t>
      </w:r>
      <w:r>
        <w:rPr>
          <w:rFonts w:ascii="Times New Roman" w:hAnsi="Times New Roman"/>
          <w:color w:val="000000"/>
          <w:sz w:val="22"/>
          <w:u w:val="single"/>
        </w:rPr>
        <w:t>Section 5.11</w:t>
      </w:r>
      <w:r>
        <w:rPr>
          <w:rFonts w:ascii="Times New Roman" w:hAnsi="Times New Roman"/>
          <w:color w:val="000000"/>
          <w:sz w:val="20"/>
        </w:rPr>
        <w:t xml:space="preserve"> </w:t>
      </w:r>
      <w:r>
        <w:rPr>
          <w:rFonts w:ascii="Times New Roman" w:hAnsi="Times New Roman"/>
          <w:color w:val="000000"/>
          <w:sz w:val="22"/>
        </w:rPr>
        <w:t>shall not apply to (i) the issuance of Common Stock or Common Stock Equivalents upon the conversion, exercise or vesting of any securities of the Company outstanding on the date of this Agreement or outstanding pursuant to clause (ii) below, (ii) the issuance of any Common Stock or Common Stock Equivalents pursuant to any Company stock-based compensation plans outstanding as of the date of this Agreement, any new equity incentive plan or employee stock purchase plan approved by the Board of Directors in connection with the Merger, or any inducement plan or in accordance with Nasdaq Stock Market Rule 5635(c)(4), (iii) the filing of a registration statement on Form S-8 under the Securities Act to register the offer and sale of securities on an equity incentive plan or employee stock purchase plan, or (iv) without duplication, any Exempt Issuance.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5.12</w:t>
      </w:r>
      <w:r>
        <w:rPr>
          <w:rFonts w:ascii="Times New Roman" w:hAnsi="Times New Roman"/>
          <w:color w:val="000000"/>
          <w:sz w:val="20"/>
        </w:rPr>
        <w:t xml:space="preserve"> </w:t>
      </w:r>
      <w:r>
        <w:rPr>
          <w:rFonts w:ascii="Times New Roman" w:hAnsi="Times New Roman"/>
          <w:color w:val="000000"/>
          <w:sz w:val="22"/>
          <w:u w:val="single"/>
        </w:rPr>
        <w:t>Reservation of Common Stock</w:t>
      </w:r>
      <w:r>
        <w:rPr>
          <w:rFonts w:ascii="Times New Roman" w:hAnsi="Times New Roman"/>
          <w:color w:val="000000"/>
          <w:sz w:val="22"/>
        </w:rPr>
        <w:t>. As of the date of this Agreement, the Company has reserved and the Company shall continue to reserve and keep available at all times, free of preemptive rights, a sufficient number of shares of Common Stock for the purpose of enabling the Company to issue the Conversion Shares that are issuable upon the conversion of the Preferred Shares and the Warrant Shares, in their entirety (without regard to any limitations or restrictions on conversion under the Certificate of Designation).</w:t>
      </w:r>
    </w:p>
    <w:p>
      <w:pPr>
        <w:pStyle w:val="TextBody"/>
        <w:bidi w:val="0"/>
        <w:spacing w:before="0" w:after="240"/>
        <w:jc w:val="both"/>
        <w:rPr>
          <w:rFonts w:ascii="Times New Roman" w:hAnsi="Times New Roman"/>
          <w:sz w:val="20"/>
        </w:rPr>
      </w:pPr>
      <w:r>
        <w:rPr>
          <w:rFonts w:ascii="Times New Roman" w:hAnsi="Times New Roman"/>
          <w:color w:val="000000"/>
          <w:sz w:val="22"/>
        </w:rPr>
        <w:t>5.13</w:t>
      </w:r>
      <w:r>
        <w:rPr>
          <w:rFonts w:ascii="Times New Roman" w:hAnsi="Times New Roman"/>
          <w:color w:val="000000"/>
          <w:sz w:val="20"/>
        </w:rPr>
        <w:t xml:space="preserve"> </w:t>
      </w:r>
      <w:r>
        <w:rPr>
          <w:rFonts w:ascii="Times New Roman" w:hAnsi="Times New Roman"/>
          <w:color w:val="000000"/>
          <w:sz w:val="22"/>
          <w:u w:val="single"/>
        </w:rPr>
        <w:t>Stockholder Approval</w:t>
      </w:r>
      <w:r>
        <w:rPr>
          <w:rFonts w:ascii="Times New Roman" w:hAnsi="Times New Roman"/>
          <w:color w:val="000000"/>
          <w:sz w:val="22"/>
        </w:rPr>
        <w:t xml:space="preserve">. The Company shall use its commercially reasonable efforts to obtain the Requisite Stockholder Approval at the Stockholders’ Meetings in accordance with, and within the time frames set forth in, Section 4.2 of the Merger Agreement, including the adjournment, postponement, resolicitation, and recommendation mechanics set forth in Section 4.2(b) and Section 4.2(c) of the Merger Agreement, which are incorporated herein by reference </w:t>
      </w:r>
      <w:r>
        <w:rPr>
          <w:rFonts w:ascii="Times New Roman" w:hAnsi="Times New Roman"/>
          <w:i/>
          <w:color w:val="000000"/>
          <w:sz w:val="22"/>
        </w:rPr>
        <w:t>mutatis mutandis</w:t>
      </w:r>
      <w:r>
        <w:rPr>
          <w:rFonts w:ascii="Times New Roman" w:hAnsi="Times New Roman"/>
          <w:color w:val="000000"/>
          <w:sz w:val="22"/>
        </w:rPr>
        <w:t>. Notwithstanding the foregoing, the Company shall hold, and use its commercially reasonable efforts to cause to be held, all Stockholders’ Meetings and any related votes necessary to obtain the Requisite Stockholder Approval no later than the date that is nine (9) months after the Closing Date. Capitalized terms used in this Section and not otherwise defined herein have the meanings given to them in the Merger Agreement.</w:t>
      </w:r>
    </w:p>
    <w:p>
      <w:pPr>
        <w:pStyle w:val="TextBody"/>
        <w:bidi w:val="0"/>
        <w:spacing w:before="0" w:after="240"/>
        <w:jc w:val="both"/>
        <w:rPr>
          <w:rFonts w:ascii="Times New Roman" w:hAnsi="Times New Roman"/>
          <w:sz w:val="20"/>
        </w:rPr>
      </w:pPr>
      <w:r>
        <w:rPr>
          <w:rFonts w:ascii="Times New Roman" w:hAnsi="Times New Roman"/>
          <w:color w:val="000000"/>
          <w:sz w:val="22"/>
        </w:rPr>
        <w:t>5.14</w:t>
      </w:r>
      <w:r>
        <w:rPr>
          <w:rFonts w:ascii="Times New Roman" w:hAnsi="Times New Roman"/>
          <w:color w:val="000000"/>
          <w:sz w:val="20"/>
        </w:rPr>
        <w:t xml:space="preserve"> </w:t>
      </w:r>
      <w:r>
        <w:rPr>
          <w:rFonts w:ascii="Times New Roman" w:hAnsi="Times New Roman"/>
          <w:color w:val="000000"/>
          <w:sz w:val="22"/>
          <w:u w:val="single"/>
        </w:rPr>
        <w:t>Lock-Up Agreements</w:t>
      </w:r>
      <w:r>
        <w:rPr>
          <w:rFonts w:ascii="Times New Roman" w:hAnsi="Times New Roman"/>
          <w:color w:val="000000"/>
          <w:sz w:val="22"/>
        </w:rPr>
        <w:t xml:space="preserve">. The Company shall not consent or agree to amend, alter, waive or otherwise modify the terms of any of the Company Lock-Up Agreements without the consent of the Placement Agent;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Company may waive or terminate any Company Lock-Up Agreements to the extent required by Nasdaq listing rules.</w:t>
      </w:r>
    </w:p>
    <w:p>
      <w:pPr>
        <w:pStyle w:val="TextBody"/>
        <w:bidi w:val="0"/>
        <w:spacing w:before="0" w:after="240"/>
        <w:jc w:val="both"/>
        <w:rPr>
          <w:rFonts w:ascii="Times New Roman" w:hAnsi="Times New Roman"/>
          <w:sz w:val="20"/>
        </w:rPr>
      </w:pPr>
      <w:r>
        <w:rPr>
          <w:rFonts w:ascii="Times New Roman" w:hAnsi="Times New Roman"/>
          <w:color w:val="000000"/>
          <w:sz w:val="22"/>
        </w:rPr>
        <w:t>5.15</w:t>
      </w:r>
      <w:r>
        <w:rPr>
          <w:rFonts w:ascii="Times New Roman" w:hAnsi="Times New Roman"/>
          <w:color w:val="000000"/>
          <w:sz w:val="20"/>
        </w:rPr>
        <w:t xml:space="preserve"> </w:t>
      </w:r>
      <w:r>
        <w:rPr>
          <w:rFonts w:ascii="Times New Roman" w:hAnsi="Times New Roman"/>
          <w:color w:val="000000"/>
          <w:sz w:val="22"/>
          <w:u w:val="single"/>
        </w:rPr>
        <w:t>Amendments to Merger Agreement</w:t>
      </w:r>
      <w:r>
        <w:rPr>
          <w:rFonts w:ascii="Times New Roman" w:hAnsi="Times New Roman"/>
          <w:color w:val="000000"/>
          <w:sz w:val="22"/>
        </w:rPr>
        <w:t>. From the date of this Agreement until the Closing, the Company shall not amend, modify or waive, or consent to any amendment, modification or waiver of, any provision of the Merger Agreement in a manner that would reasonably be expected to materially and adversely affect the benefits that the Investors would reasonably expect to receive under this Agreement, without the prior written consent of a Majority in Interest of the Investors; it being agreed that any amendment, modification or waiver to the definition of the Exchange Ratio shall be deemed to materially and adversely affect such benefits. Capitalized terms used in this Section and not otherwise defined herein have the meanings given to them in the Merger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6.</w:t>
      </w:r>
      <w:r>
        <w:rPr>
          <w:rFonts w:ascii="Times New Roman" w:hAnsi="Times New Roman"/>
          <w:color w:val="000000"/>
          <w:sz w:val="20"/>
        </w:rPr>
        <w:t xml:space="preserve"> </w:t>
      </w:r>
      <w:r>
        <w:rPr>
          <w:rFonts w:ascii="Times New Roman" w:hAnsi="Times New Roman"/>
          <w:color w:val="000000"/>
          <w:sz w:val="22"/>
          <w:u w:val="single"/>
        </w:rPr>
        <w:t>Conditions of Closing</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6.1</w:t>
      </w:r>
      <w:r>
        <w:rPr>
          <w:rFonts w:ascii="Times New Roman" w:hAnsi="Times New Roman"/>
          <w:color w:val="000000"/>
          <w:sz w:val="20"/>
        </w:rPr>
        <w:t xml:space="preserve"> </w:t>
      </w:r>
      <w:r>
        <w:rPr>
          <w:rFonts w:ascii="Times New Roman" w:hAnsi="Times New Roman"/>
          <w:color w:val="000000"/>
          <w:sz w:val="22"/>
          <w:u w:val="single"/>
        </w:rPr>
        <w:t>Conditions to the Obligation of the Investors</w:t>
      </w:r>
      <w:r>
        <w:rPr>
          <w:rFonts w:ascii="Times New Roman" w:hAnsi="Times New Roman"/>
          <w:color w:val="000000"/>
          <w:sz w:val="22"/>
        </w:rPr>
        <w:t>. The several obligations of each Investor to consummate the transactions to be consummated at the Closing, and to purchase and pay for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Preferred Shares being purchased by it at the Closing pursuant to this Agreement, are subject to the satisfaction or waiver in writing of the following conditions precedent: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u w:val="single"/>
        </w:rPr>
        <w:t>Representations and Warranties</w:t>
      </w:r>
      <w:r>
        <w:rPr>
          <w:rFonts w:ascii="Times New Roman" w:hAnsi="Times New Roman"/>
          <w:color w:val="000000"/>
          <w:sz w:val="22"/>
        </w:rPr>
        <w:t>. The representations and warranties of the Company contained herein shall be true and correct in all material respects (or, to the extent any such representation or warranty is qualified by materiality or Material Adverse Effect, in all respects) as of the date of this Agreement and as of the Closing Date, as though made on and as of each such date, except to the extent any such representation or warranty expressly speaks as of an earlier date, in which case such representation or warranty shall be so true and correct as of such earlier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u w:val="single"/>
        </w:rPr>
        <w:t>Performance</w:t>
      </w:r>
      <w:r>
        <w:rPr>
          <w:rFonts w:ascii="Times New Roman" w:hAnsi="Times New Roman"/>
          <w:color w:val="000000"/>
          <w:sz w:val="22"/>
        </w:rPr>
        <w:t>. The Company shall have performed in all material respects the obligations and conditions herein required to be performed or observed by the Company on or prior to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u w:val="single"/>
        </w:rPr>
        <w:t>No Injunction</w:t>
      </w:r>
      <w:r>
        <w:rPr>
          <w:rFonts w:ascii="Times New Roman" w:hAnsi="Times New Roman"/>
          <w:color w:val="000000"/>
          <w:sz w:val="22"/>
        </w:rPr>
        <w:t>. No judgment, writ, order, injunction, award or decree of or by any court, or judge, justice or magistrate, including any bankruptcy court or judge, or any order of or by any Governmental Body, shall have been issued, and no action or proceeding shall have been instituted by any Governmental Body, enjoining or preventing the consummation of the transactions contemplated hereby or in the other Transaction Documents, and no Governmental Body shall have enacted, issued, promulgated, enforced or entered any judgment, order, law, rule or regulation (whether temporary, preliminary or permanent) that is then in effect and has the effect of making consummation of the transactions contemplated hereby or by the Merger Agreement illegal or otherwise preventing or prohibiting consummation of such transactions, and no Governmental Body shall have instituted or threatened in writing a proceeding seeking to impose any such prevention or prohibition.</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u w:val="single"/>
        </w:rPr>
        <w:t>Consents</w:t>
      </w:r>
      <w:r>
        <w:rPr>
          <w:rFonts w:ascii="Times New Roman" w:hAnsi="Times New Roman"/>
          <w:color w:val="000000"/>
          <w:sz w:val="22"/>
        </w:rPr>
        <w:t>. The Company shall have obtained any and all consents, permits, approvals, registrations and waivers necessary for the consummation of the purchase and sale of the Securities, all of which shall be in full force and effect.</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u w:val="single"/>
        </w:rPr>
        <w:t>Transfer Agent</w:t>
      </w:r>
      <w:r>
        <w:rPr>
          <w:rFonts w:ascii="Times New Roman" w:hAnsi="Times New Roman"/>
          <w:color w:val="000000"/>
          <w:sz w:val="22"/>
        </w:rPr>
        <w:t>. The Company shall have furnished all required materials to the Transfer Agent to reflect the issuance of the Preferred Shares at the Closing.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u w:val="single"/>
        </w:rPr>
        <w:t>Adverse Changes</w:t>
      </w:r>
      <w:r>
        <w:rPr>
          <w:rFonts w:ascii="Times New Roman" w:hAnsi="Times New Roman"/>
          <w:color w:val="000000"/>
          <w:sz w:val="22"/>
        </w:rPr>
        <w:t>. Since the date of this Agreement, no event or series of events shall have occurred that has had or would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u w:val="single"/>
        </w:rPr>
        <w:t>Opinion of Company Counsel</w:t>
      </w:r>
      <w:r>
        <w:rPr>
          <w:rFonts w:ascii="Times New Roman" w:hAnsi="Times New Roman"/>
          <w:color w:val="000000"/>
          <w:sz w:val="22"/>
        </w:rPr>
        <w:t>. The Company shall have delivered to the Investors and the Placement Agent the opinions of Sidley Austin LLP dated as of the Closing Date, in customary form and substance to be reasonably agreed upon with the Investors and the Placement Agent and addressing such legal matters as the Placement Agent and the Company reasonably agree.</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u w:val="single"/>
        </w:rPr>
        <w:t>Compliance Certificate</w:t>
      </w:r>
      <w:r>
        <w:rPr>
          <w:rFonts w:ascii="Times New Roman" w:hAnsi="Times New Roman"/>
          <w:color w:val="000000"/>
          <w:sz w:val="22"/>
        </w:rPr>
        <w:t xml:space="preserve">. An authorized officer of the Company shall have delivered to the Investors at the Closing Date a certificate certifying that the conditions specified in </w:t>
      </w:r>
      <w:r>
        <w:rPr>
          <w:rFonts w:ascii="Times New Roman" w:hAnsi="Times New Roman"/>
          <w:color w:val="000000"/>
          <w:sz w:val="22"/>
          <w:u w:val="single"/>
        </w:rPr>
        <w:t>Sections 6.1(a)</w:t>
      </w:r>
      <w:r>
        <w:rPr>
          <w:rFonts w:ascii="Times New Roman" w:hAnsi="Times New Roman"/>
          <w:color w:val="000000"/>
          <w:sz w:val="20"/>
        </w:rPr>
        <w:t xml:space="preserve"> </w:t>
      </w:r>
      <w:r>
        <w:rPr>
          <w:rFonts w:ascii="Times New Roman" w:hAnsi="Times New Roman"/>
          <w:color w:val="000000"/>
          <w:sz w:val="22"/>
        </w:rPr>
        <w:t xml:space="preserve">(Representations and Warranties), </w:t>
      </w:r>
      <w:r>
        <w:rPr>
          <w:rFonts w:ascii="Times New Roman" w:hAnsi="Times New Roman"/>
          <w:color w:val="000000"/>
          <w:sz w:val="22"/>
          <w:u w:val="single"/>
        </w:rPr>
        <w:t>6.1(b)</w:t>
      </w:r>
      <w:r>
        <w:rPr>
          <w:rFonts w:ascii="Times New Roman" w:hAnsi="Times New Roman"/>
          <w:color w:val="000000"/>
          <w:sz w:val="20"/>
        </w:rPr>
        <w:t xml:space="preserve"> </w:t>
      </w:r>
      <w:r>
        <w:rPr>
          <w:rFonts w:ascii="Times New Roman" w:hAnsi="Times New Roman"/>
          <w:color w:val="000000"/>
          <w:sz w:val="22"/>
        </w:rPr>
        <w:t xml:space="preserve">(Performance), </w:t>
      </w:r>
      <w:r>
        <w:rPr>
          <w:rFonts w:ascii="Times New Roman" w:hAnsi="Times New Roman"/>
          <w:color w:val="000000"/>
          <w:sz w:val="22"/>
          <w:u w:val="single"/>
        </w:rPr>
        <w:t>6.1(c)</w:t>
      </w:r>
      <w:r>
        <w:rPr>
          <w:rFonts w:ascii="Times New Roman" w:hAnsi="Times New Roman"/>
          <w:color w:val="000000"/>
          <w:sz w:val="20"/>
        </w:rPr>
        <w:t xml:space="preserve"> </w:t>
      </w:r>
      <w:r>
        <w:rPr>
          <w:rFonts w:ascii="Times New Roman" w:hAnsi="Times New Roman"/>
          <w:color w:val="000000"/>
          <w:sz w:val="22"/>
        </w:rPr>
        <w:t>(No Injunction), 6.1(d) (Consents), 6.1(e) (Transfer Agent), 6.1(f) (Adverse Changes), 6.1(l) (Listing Requirements), 6.1(m) (Minimum Proceeds), 6.1(n) (Merger) and 6.1(o) (Certificate of Designation) of this Agreement have been fulfilled.</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u w:val="single"/>
        </w:rPr>
        <w:t>Secretary’s Certificate</w:t>
      </w:r>
      <w:r>
        <w:rPr>
          <w:rFonts w:ascii="Times New Roman" w:hAnsi="Times New Roman"/>
          <w:color w:val="000000"/>
          <w:sz w:val="22"/>
        </w:rPr>
        <w:t>. The Secretary of the Company shall have delivered to the Investors at the Closing Date a certificate certifying (i) the Amended and Restated Certificate of Incorporation and the Certificate of Designation; (ii) the Amended and Restated Bylaws; and (iii) resolutions of the Company’s Board of Directors (or an authorized committee thereof) approving this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the other Transaction Documents, the transactions contemplated by this Agreement and the issuance of the Securities.</w:t>
      </w:r>
    </w:p>
    <w:p>
      <w:pPr>
        <w:pStyle w:val="TextBody"/>
        <w:bidi w:val="0"/>
        <w:spacing w:before="0" w:after="240"/>
        <w:jc w:val="both"/>
        <w:rPr>
          <w:rFonts w:ascii="Times New Roman" w:hAnsi="Times New Roman"/>
          <w:sz w:val="20"/>
        </w:rPr>
      </w:pPr>
      <w:r>
        <w:rPr>
          <w:rFonts w:ascii="Times New Roman" w:hAnsi="Times New Roman"/>
          <w:color w:val="000000"/>
          <w:sz w:val="22"/>
        </w:rPr>
        <w:t>(j)</w:t>
      </w:r>
      <w:r>
        <w:rPr>
          <w:rFonts w:ascii="Times New Roman" w:hAnsi="Times New Roman"/>
          <w:color w:val="000000"/>
          <w:sz w:val="20"/>
        </w:rPr>
        <w:t xml:space="preserve"> </w:t>
      </w:r>
      <w:r>
        <w:rPr>
          <w:rFonts w:ascii="Times New Roman" w:hAnsi="Times New Roman"/>
          <w:color w:val="000000"/>
          <w:sz w:val="22"/>
          <w:u w:val="single"/>
        </w:rPr>
        <w:t>Registration Rights Agreement</w:t>
      </w:r>
      <w:r>
        <w:rPr>
          <w:rFonts w:ascii="Times New Roman" w:hAnsi="Times New Roman"/>
          <w:color w:val="000000"/>
          <w:sz w:val="22"/>
        </w:rPr>
        <w:t>. The Company shall have executed and delivered the Registration Rights Agreement to the Investors.</w:t>
      </w:r>
    </w:p>
    <w:p>
      <w:pPr>
        <w:pStyle w:val="TextBody"/>
        <w:bidi w:val="0"/>
        <w:spacing w:before="0" w:after="240"/>
        <w:jc w:val="both"/>
        <w:rPr>
          <w:rFonts w:ascii="Times New Roman" w:hAnsi="Times New Roman"/>
          <w:sz w:val="20"/>
        </w:rPr>
      </w:pPr>
      <w:r>
        <w:rPr>
          <w:rFonts w:ascii="Times New Roman" w:hAnsi="Times New Roman"/>
          <w:color w:val="000000"/>
          <w:sz w:val="22"/>
        </w:rPr>
        <w:t>(k)</w:t>
      </w:r>
      <w:r>
        <w:rPr>
          <w:rFonts w:ascii="Times New Roman" w:hAnsi="Times New Roman"/>
          <w:color w:val="000000"/>
          <w:sz w:val="20"/>
        </w:rPr>
        <w:t xml:space="preserve"> </w:t>
      </w:r>
      <w:r>
        <w:rPr>
          <w:rFonts w:ascii="Times New Roman" w:hAnsi="Times New Roman"/>
          <w:color w:val="000000"/>
          <w:sz w:val="22"/>
        </w:rPr>
        <w:t>Delivery of Warrants. The Company shall have executed and delivered to each Investor the Warrants to which such Investor is entitled pursuant to Section 2.2(c).</w:t>
      </w:r>
    </w:p>
    <w:p>
      <w:pPr>
        <w:pStyle w:val="TextBody"/>
        <w:bidi w:val="0"/>
        <w:spacing w:before="0" w:after="240"/>
        <w:jc w:val="both"/>
        <w:rPr>
          <w:rFonts w:ascii="Times New Roman" w:hAnsi="Times New Roman"/>
          <w:sz w:val="20"/>
        </w:rPr>
      </w:pPr>
      <w:r>
        <w:rPr>
          <w:rFonts w:ascii="Times New Roman" w:hAnsi="Times New Roman"/>
          <w:color w:val="000000"/>
          <w:sz w:val="22"/>
        </w:rPr>
        <w:t>(l)</w:t>
      </w:r>
      <w:r>
        <w:rPr>
          <w:rFonts w:ascii="Times New Roman" w:hAnsi="Times New Roman"/>
          <w:color w:val="000000"/>
          <w:sz w:val="20"/>
        </w:rPr>
        <w:t xml:space="preserve"> </w:t>
      </w:r>
      <w:r>
        <w:rPr>
          <w:rFonts w:ascii="Times New Roman" w:hAnsi="Times New Roman"/>
          <w:color w:val="000000"/>
          <w:sz w:val="22"/>
          <w:u w:val="single"/>
        </w:rPr>
        <w:t>Listing Requirements</w:t>
      </w:r>
      <w:r>
        <w:rPr>
          <w:rFonts w:ascii="Times New Roman" w:hAnsi="Times New Roman"/>
          <w:color w:val="000000"/>
          <w:sz w:val="22"/>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such National Exchange from trading thereon nor shall suspension by the SEC or such National Exchange have been threatened, as of the Closing Date, in writing by the SEC or such National Exchange; and Nasdaq shall have raised no objection to such notice and the transactions contemplated hereby.</w:t>
      </w:r>
    </w:p>
    <w:p>
      <w:pPr>
        <w:pStyle w:val="TextBody"/>
        <w:bidi w:val="0"/>
        <w:spacing w:before="0" w:after="240"/>
        <w:jc w:val="both"/>
        <w:rPr>
          <w:rFonts w:ascii="Times New Roman" w:hAnsi="Times New Roman"/>
          <w:sz w:val="20"/>
        </w:rPr>
      </w:pPr>
      <w:r>
        <w:rPr>
          <w:rFonts w:ascii="Times New Roman" w:hAnsi="Times New Roman"/>
          <w:color w:val="000000"/>
          <w:sz w:val="22"/>
        </w:rPr>
        <w:t>(m)</w:t>
      </w:r>
      <w:r>
        <w:rPr>
          <w:rFonts w:ascii="Times New Roman" w:hAnsi="Times New Roman"/>
          <w:color w:val="000000"/>
          <w:sz w:val="20"/>
        </w:rPr>
        <w:t xml:space="preserve"> </w:t>
      </w:r>
      <w:r>
        <w:rPr>
          <w:rFonts w:ascii="Times New Roman" w:hAnsi="Times New Roman"/>
          <w:color w:val="000000"/>
          <w:sz w:val="22"/>
          <w:u w:val="single"/>
        </w:rPr>
        <w:t>Minimum Proceeds</w:t>
      </w:r>
      <w:r>
        <w:rPr>
          <w:rFonts w:ascii="Times New Roman" w:hAnsi="Times New Roman"/>
          <w:color w:val="000000"/>
          <w:sz w:val="22"/>
        </w:rPr>
        <w:t>. The Company shall be receiving at the Closing aggregate gross proceeds from the sale of the Preferred Shares hereunder of not less than $100,000,000.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(n)</w:t>
      </w:r>
      <w:r>
        <w:rPr>
          <w:rFonts w:ascii="Times New Roman" w:hAnsi="Times New Roman"/>
          <w:color w:val="000000"/>
          <w:sz w:val="20"/>
        </w:rPr>
        <w:t xml:space="preserve"> </w:t>
      </w:r>
      <w:r>
        <w:rPr>
          <w:rFonts w:ascii="Times New Roman" w:hAnsi="Times New Roman"/>
          <w:color w:val="000000"/>
          <w:sz w:val="22"/>
          <w:u w:val="single"/>
        </w:rPr>
        <w:t>Merger</w:t>
      </w:r>
      <w:r>
        <w:rPr>
          <w:rFonts w:ascii="Times New Roman" w:hAnsi="Times New Roman"/>
          <w:color w:val="000000"/>
          <w:sz w:val="22"/>
        </w:rPr>
        <w:t>. The Merger shall have been consummated in accordance with the terms of the Merger Agreement.</w:t>
      </w:r>
    </w:p>
    <w:p>
      <w:pPr>
        <w:pStyle w:val="TextBody"/>
        <w:bidi w:val="0"/>
        <w:spacing w:before="0" w:after="240"/>
        <w:jc w:val="both"/>
        <w:rPr>
          <w:rFonts w:ascii="Times New Roman" w:hAnsi="Times New Roman"/>
          <w:sz w:val="20"/>
        </w:rPr>
      </w:pPr>
      <w:r>
        <w:rPr>
          <w:rFonts w:ascii="Times New Roman" w:hAnsi="Times New Roman"/>
          <w:color w:val="000000"/>
          <w:sz w:val="22"/>
        </w:rPr>
        <w:t>(o)</w:t>
      </w:r>
      <w:r>
        <w:rPr>
          <w:rFonts w:ascii="Times New Roman" w:hAnsi="Times New Roman"/>
          <w:color w:val="000000"/>
          <w:sz w:val="20"/>
        </w:rPr>
        <w:t xml:space="preserve"> </w:t>
      </w:r>
      <w:r>
        <w:rPr>
          <w:rFonts w:ascii="Times New Roman" w:hAnsi="Times New Roman"/>
          <w:color w:val="000000"/>
          <w:sz w:val="22"/>
          <w:u w:val="single"/>
        </w:rPr>
        <w:t>Certificate of Designation</w:t>
      </w:r>
      <w:r>
        <w:rPr>
          <w:rFonts w:ascii="Times New Roman" w:hAnsi="Times New Roman"/>
          <w:color w:val="000000"/>
          <w:sz w:val="22"/>
        </w:rPr>
        <w:t>. The Certificate of Designation shall have been filed with the Secretary of State of the State of Delaware and become effective, and a certified copy thereof shall have been delivered to the Investors and the Placement Agent.</w:t>
      </w:r>
    </w:p>
    <w:p>
      <w:pPr>
        <w:pStyle w:val="TextBody"/>
        <w:bidi w:val="0"/>
        <w:spacing w:before="0" w:after="240"/>
        <w:jc w:val="both"/>
        <w:rPr>
          <w:rFonts w:ascii="Times New Roman" w:hAnsi="Times New Roman"/>
          <w:sz w:val="20"/>
        </w:rPr>
      </w:pPr>
      <w:r>
        <w:rPr>
          <w:rFonts w:ascii="Times New Roman" w:hAnsi="Times New Roman"/>
          <w:color w:val="000000"/>
          <w:sz w:val="22"/>
        </w:rPr>
        <w:t>6.2</w:t>
      </w:r>
      <w:r>
        <w:rPr>
          <w:rFonts w:ascii="Times New Roman" w:hAnsi="Times New Roman"/>
          <w:color w:val="000000"/>
          <w:sz w:val="20"/>
        </w:rPr>
        <w:t xml:space="preserve"> </w:t>
      </w:r>
      <w:r>
        <w:rPr>
          <w:rFonts w:ascii="Times New Roman" w:hAnsi="Times New Roman"/>
          <w:color w:val="000000"/>
          <w:sz w:val="22"/>
          <w:u w:val="single"/>
        </w:rPr>
        <w:t>Conditions to the Obligation of the Company</w:t>
      </w:r>
      <w:r>
        <w:rPr>
          <w:rFonts w:ascii="Times New Roman" w:hAnsi="Times New Roman"/>
          <w:color w:val="000000"/>
          <w:sz w:val="22"/>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u w:val="single"/>
        </w:rPr>
        <w:t>Representations and Warranties</w:t>
      </w:r>
      <w:r>
        <w:rPr>
          <w:rFonts w:ascii="Times New Roman" w:hAnsi="Times New Roman"/>
          <w:color w:val="000000"/>
          <w:sz w:val="22"/>
        </w:rPr>
        <w:t xml:space="preserve">. The representations and warranties of such Investor in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u w:val="single"/>
        </w:rPr>
        <w:t>Performance</w:t>
      </w:r>
      <w:r>
        <w:rPr>
          <w:rFonts w:ascii="Times New Roman" w:hAnsi="Times New Roman"/>
          <w:color w:val="000000"/>
          <w:sz w:val="22"/>
        </w:rPr>
        <w:t>. Each Investor shall have performed or complied with in all material respects all obligations and conditions herein required to be performed or observed by such Investor on or prior to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u w:val="single"/>
        </w:rPr>
        <w:t>No Injunction</w:t>
      </w:r>
      <w:r>
        <w:rPr>
          <w:rFonts w:ascii="Times New Roman" w:hAnsi="Times New Roman"/>
          <w:color w:val="000000"/>
          <w:sz w:val="22"/>
        </w:rPr>
        <w:t>. The purchase of and payment for the Securities by such Investor shall not be prohibited or enjoined by any law or governmental or court order or regulation, and no Governmental Body shall have enacted, issued, promulgated, enforced or entered any judgment, order, law, rule or regulation (whether temporary, preliminary or permanent) that is then in effect and has the effect of making consummation of the transactions contemplated hereby or by the Merger Agreement illegal or otherwise preventing or prohibiting consummation of such transactions, and no Governmental Body shall have instituted or threatened in writing a proceeding seeking to impose any such prevention or prohibition.</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u w:val="single"/>
        </w:rPr>
        <w:t>Registration Rights Agreement</w:t>
      </w:r>
      <w:r>
        <w:rPr>
          <w:rFonts w:ascii="Times New Roman" w:hAnsi="Times New Roman"/>
          <w:color w:val="000000"/>
          <w:sz w:val="22"/>
        </w:rPr>
        <w:t>. Each Investor shall have executed and delivered the Registration Rights Agreement.</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u w:val="single"/>
        </w:rPr>
        <w:t>Payment</w:t>
      </w:r>
      <w:r>
        <w:rPr>
          <w:rFonts w:ascii="Times New Roman" w:hAnsi="Times New Roman"/>
          <w:color w:val="000000"/>
          <w:sz w:val="22"/>
        </w:rPr>
        <w:t xml:space="preserve">. Except as may be agreed to among the Company and such Investor in accordance with </w:t>
      </w:r>
      <w:r>
        <w:rPr>
          <w:rFonts w:ascii="Times New Roman" w:hAnsi="Times New Roman"/>
          <w:color w:val="000000"/>
          <w:sz w:val="22"/>
          <w:u w:val="single"/>
        </w:rPr>
        <w:t>Section 2.2</w:t>
      </w:r>
      <w:r>
        <w:rPr>
          <w:rFonts w:ascii="Times New Roman" w:hAnsi="Times New Roman"/>
          <w:color w:val="000000"/>
          <w:sz w:val="22"/>
        </w:rPr>
        <w:t xml:space="preserve">, the Company shall have received payment, by wire transfer of immediately available funds, in the full amount of the purchase price for the number of Securities being purchased by such Investor at the Closing as set forth in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u w:val="single"/>
        </w:rPr>
        <w:t>Merger</w:t>
      </w:r>
      <w:r>
        <w:rPr>
          <w:rFonts w:ascii="Times New Roman" w:hAnsi="Times New Roman"/>
          <w:color w:val="000000"/>
          <w:sz w:val="22"/>
        </w:rPr>
        <w:t>. The Merger shall have been consummated in accordance with the terms of the Merger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7.</w:t>
      </w:r>
      <w:r>
        <w:rPr>
          <w:rFonts w:ascii="Times New Roman" w:hAnsi="Times New Roman"/>
          <w:color w:val="000000"/>
          <w:sz w:val="20"/>
        </w:rPr>
        <w:t xml:space="preserve"> </w:t>
      </w:r>
      <w:r>
        <w:rPr>
          <w:rFonts w:ascii="Times New Roman" w:hAnsi="Times New Roman"/>
          <w:color w:val="000000"/>
          <w:sz w:val="22"/>
          <w:u w:val="single"/>
        </w:rPr>
        <w:t>Termination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7.1</w:t>
      </w:r>
      <w:r>
        <w:rPr>
          <w:rFonts w:ascii="Times New Roman" w:hAnsi="Times New Roman"/>
          <w:color w:val="000000"/>
          <w:sz w:val="20"/>
        </w:rPr>
        <w:t xml:space="preserve"> </w:t>
      </w:r>
      <w:r>
        <w:rPr>
          <w:rFonts w:ascii="Times New Roman" w:hAnsi="Times New Roman"/>
          <w:color w:val="000000"/>
          <w:sz w:val="22"/>
          <w:u w:val="single"/>
        </w:rPr>
        <w:t>Termination</w:t>
      </w:r>
      <w:r>
        <w:rPr>
          <w:rFonts w:ascii="Times New Roman" w:hAnsi="Times New Roman"/>
          <w:color w:val="000000"/>
          <w:sz w:val="22"/>
        </w:rPr>
        <w:t>. The obligations of the Company, on the one hand, and the Investors, on the other hand, to effect the Closing shall terminate as follows: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Upon the mutual written consent of the Company and the Majority in Interest of the Investors prior to the Closing;</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By the Company if any of the conditions set forth in </w:t>
      </w:r>
      <w:r>
        <w:rPr>
          <w:rFonts w:ascii="Times New Roman" w:hAnsi="Times New Roman"/>
          <w:color w:val="000000"/>
          <w:sz w:val="22"/>
          <w:u w:val="single"/>
        </w:rPr>
        <w:t>Section 6.2</w:t>
      </w:r>
      <w:r>
        <w:rPr>
          <w:rFonts w:ascii="Times New Roman" w:hAnsi="Times New Roman"/>
          <w:color w:val="000000"/>
          <w:sz w:val="20"/>
        </w:rPr>
        <w:t xml:space="preserve"> </w:t>
      </w:r>
      <w:r>
        <w:rPr>
          <w:rFonts w:ascii="Times New Roman" w:hAnsi="Times New Roman"/>
          <w:color w:val="000000"/>
          <w:sz w:val="22"/>
        </w:rPr>
        <w:t>shall have become incapable of fulfillment, and shall not have been waived by the Company;</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By an Investor (with respect to itself only) if any of the conditions set forth in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shall have become incapable of fulfillment, and shall not have been waived by such Investor;</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By either the Company or an Investor (with respect to itself only) if the Closing has not occurred on or prior to the fifth Business Day following the date of this Agreement; or</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automatically upon the termination of the Merger Agreement in accordance with its terms;</w:t>
      </w:r>
    </w:p>
    <w:p>
      <w:pPr>
        <w:pStyle w:val="TextBody"/>
        <w:bidi w:val="0"/>
        <w:spacing w:before="0" w:after="240"/>
        <w:jc w:val="both"/>
        <w:rPr>
          <w:rFonts w:ascii="Times New Roman" w:hAnsi="Times New Roman"/>
          <w:sz w:val="22"/>
        </w:rPr>
      </w:pP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the case of clauses (b), (c) and (d) above, the party seeking to terminate its obligation to effect the Closing shall not then be in breach of any of its representations, warranties, covenants or agreements contained in the Transaction Documents if such breach has resulted in the circumstances giving rise to such party’s seeking to terminate its obligation to effect the Closing.</w:t>
      </w:r>
    </w:p>
    <w:p>
      <w:pPr>
        <w:pStyle w:val="TextBody"/>
        <w:bidi w:val="0"/>
        <w:spacing w:before="0" w:after="240"/>
        <w:jc w:val="both"/>
        <w:rPr>
          <w:rFonts w:ascii="Times New Roman" w:hAnsi="Times New Roman"/>
          <w:sz w:val="20"/>
        </w:rPr>
      </w:pPr>
      <w:r>
        <w:rPr>
          <w:rFonts w:ascii="Times New Roman" w:hAnsi="Times New Roman"/>
          <w:color w:val="000000"/>
          <w:sz w:val="22"/>
        </w:rPr>
        <w:t>7.2</w:t>
      </w:r>
      <w:r>
        <w:rPr>
          <w:rFonts w:ascii="Times New Roman" w:hAnsi="Times New Roman"/>
          <w:color w:val="000000"/>
          <w:sz w:val="20"/>
        </w:rPr>
        <w:t xml:space="preserve"> </w:t>
      </w:r>
      <w:r>
        <w:rPr>
          <w:rFonts w:ascii="Times New Roman" w:hAnsi="Times New Roman"/>
          <w:color w:val="000000"/>
          <w:sz w:val="22"/>
          <w:u w:val="single"/>
        </w:rPr>
        <w:t>Notice</w:t>
      </w:r>
      <w:r>
        <w:rPr>
          <w:rFonts w:ascii="Times New Roman" w:hAnsi="Times New Roman"/>
          <w:color w:val="000000"/>
          <w:sz w:val="22"/>
        </w:rPr>
        <w:t xml:space="preserve">. In the event of termination by the Company or the Investor of its obligations to effect the Closing pursuant to </w:t>
      </w:r>
      <w:r>
        <w:rPr>
          <w:rFonts w:ascii="Times New Roman" w:hAnsi="Times New Roman"/>
          <w:color w:val="000000"/>
          <w:sz w:val="22"/>
          <w:u w:val="single"/>
        </w:rPr>
        <w:t>Section 7.1</w:t>
      </w:r>
      <w:r>
        <w:rPr>
          <w:rFonts w:ascii="Times New Roman" w:hAnsi="Times New Roman"/>
          <w:color w:val="000000"/>
          <w:sz w:val="22"/>
        </w:rPr>
        <w:t xml:space="preserve">, written notice thereof shall be given to the other Investors by the Company. Nothing in this </w:t>
      </w:r>
      <w:r>
        <w:rPr>
          <w:rFonts w:ascii="Times New Roman" w:hAnsi="Times New Roman"/>
          <w:color w:val="000000"/>
          <w:sz w:val="22"/>
          <w:u w:val="single"/>
        </w:rPr>
        <w:t>Section 7</w:t>
      </w:r>
      <w:r>
        <w:rPr>
          <w:rFonts w:ascii="Times New Roman" w:hAnsi="Times New Roman"/>
          <w:color w:val="000000"/>
          <w:sz w:val="22"/>
        </w:rPr>
        <w:t>shall be deemed to release any party from any liability for any breach by such party of the terms and provisions of the Transaction Documents or to impair the right of any party to compel specific performance by any party of its other obligations under the Transaction Documents.</w:t>
      </w:r>
    </w:p>
    <w:p>
      <w:pPr>
        <w:pStyle w:val="TextBody"/>
        <w:bidi w:val="0"/>
        <w:spacing w:before="0" w:after="240"/>
        <w:jc w:val="both"/>
        <w:rPr>
          <w:rFonts w:ascii="Times New Roman" w:hAnsi="Times New Roman"/>
          <w:sz w:val="20"/>
        </w:rPr>
      </w:pPr>
      <w:r>
        <w:rPr>
          <w:rFonts w:ascii="Times New Roman" w:hAnsi="Times New Roman"/>
          <w:color w:val="000000"/>
          <w:sz w:val="22"/>
        </w:rPr>
        <w:t>8.</w:t>
      </w:r>
      <w:r>
        <w:rPr>
          <w:rFonts w:ascii="Times New Roman" w:hAnsi="Times New Roman"/>
          <w:color w:val="000000"/>
          <w:sz w:val="20"/>
        </w:rPr>
        <w:t xml:space="preserve"> </w:t>
      </w:r>
      <w:r>
        <w:rPr>
          <w:rFonts w:ascii="Times New Roman" w:hAnsi="Times New Roman"/>
          <w:color w:val="000000"/>
          <w:sz w:val="22"/>
          <w:u w:val="single"/>
        </w:rPr>
        <w:t>Miscellaneous Provisions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8.1</w:t>
      </w:r>
      <w:r>
        <w:rPr>
          <w:rFonts w:ascii="Times New Roman" w:hAnsi="Times New Roman"/>
          <w:color w:val="000000"/>
          <w:sz w:val="20"/>
        </w:rPr>
        <w:t xml:space="preserve"> </w:t>
      </w:r>
      <w:r>
        <w:rPr>
          <w:rFonts w:ascii="Times New Roman" w:hAnsi="Times New Roman"/>
          <w:color w:val="000000"/>
          <w:sz w:val="22"/>
          <w:u w:val="single"/>
        </w:rPr>
        <w:t>Public Statements or Releases</w:t>
      </w:r>
      <w:r>
        <w:rPr>
          <w:rFonts w:ascii="Times New Roman" w:hAnsi="Times New Roman"/>
          <w:color w:val="000000"/>
          <w:sz w:val="22"/>
        </w:rPr>
        <w:t xml:space="preserve">. Except as set forth in </w:t>
      </w:r>
      <w:r>
        <w:rPr>
          <w:rFonts w:ascii="Times New Roman" w:hAnsi="Times New Roman"/>
          <w:color w:val="000000"/>
          <w:sz w:val="22"/>
          <w:u w:val="single"/>
        </w:rPr>
        <w:t>Section 5.3</w:t>
      </w:r>
      <w:r>
        <w:rPr>
          <w:rFonts w:ascii="Times New Roman" w:hAnsi="Times New Roman"/>
          <w:color w:val="000000"/>
          <w:sz w:val="22"/>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conditioned or delayed). Notwithstanding the foregoing, and subject to compliance with </w:t>
      </w:r>
      <w:r>
        <w:rPr>
          <w:rFonts w:ascii="Times New Roman" w:hAnsi="Times New Roman"/>
          <w:color w:val="000000"/>
          <w:sz w:val="22"/>
          <w:u w:val="single"/>
        </w:rPr>
        <w:t>Section 5.3</w:t>
      </w:r>
      <w:r>
        <w:rPr>
          <w:rFonts w:ascii="Times New Roman" w:hAnsi="Times New Roman"/>
          <w:color w:val="000000"/>
          <w:sz w:val="22"/>
        </w:rPr>
        <w:t xml:space="preserve">, nothing in this </w:t>
      </w:r>
      <w:r>
        <w:rPr>
          <w:rFonts w:ascii="Times New Roman" w:hAnsi="Times New Roman"/>
          <w:color w:val="000000"/>
          <w:sz w:val="22"/>
          <w:u w:val="single"/>
        </w:rPr>
        <w:t>Section 8.1</w:t>
      </w:r>
      <w:r>
        <w:rPr>
          <w:rFonts w:ascii="Times New Roman" w:hAnsi="Times New Roman"/>
          <w:color w:val="000000"/>
          <w:sz w:val="20"/>
        </w:rPr>
        <w:t xml:space="preserve"> </w:t>
      </w:r>
      <w:r>
        <w:rPr>
          <w:rFonts w:ascii="Times New Roman" w:hAnsi="Times New Roman"/>
          <w:color w:val="000000"/>
          <w:sz w:val="22"/>
        </w:rPr>
        <w:t>shall prevent any party from making any public announcement it considers necessary in order to satisfy its obligations under the law, including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any Investor in any press release or public announcement (which, for the avoidance of doubt, shall not include any filing with the SEC if so required by the applicable rules of the SEC) without the prior written consent of such Investor,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hAnsi="Times New Roman"/>
          <w:color w:val="000000"/>
          <w:sz w:val="22"/>
          <w:u w:val="single"/>
        </w:rPr>
        <w:t>Section 8.1</w:t>
      </w:r>
      <w:r>
        <w:rPr>
          <w:rFonts w:ascii="Times New Roman" w:hAnsi="Times New Roman"/>
          <w:color w:val="000000"/>
          <w:sz w:val="22"/>
        </w:rPr>
        <w:t xml:space="preserve">, Investor review shall not be required for Company disclosures that are substantially consistent with prior Company disclosures. </w:t>
      </w:r>
    </w:p>
    <w:p>
      <w:pPr>
        <w:pStyle w:val="TextBody"/>
        <w:bidi w:val="0"/>
        <w:spacing w:before="0" w:after="240"/>
        <w:jc w:val="both"/>
        <w:rPr>
          <w:rFonts w:ascii="Times New Roman" w:hAnsi="Times New Roman"/>
          <w:sz w:val="20"/>
        </w:rPr>
      </w:pPr>
      <w:r>
        <w:rPr>
          <w:rFonts w:ascii="Times New Roman" w:hAnsi="Times New Roman"/>
          <w:color w:val="000000"/>
          <w:sz w:val="22"/>
        </w:rPr>
        <w:t>8.2</w:t>
      </w:r>
      <w:r>
        <w:rPr>
          <w:rFonts w:ascii="Times New Roman" w:hAnsi="Times New Roman"/>
          <w:color w:val="000000"/>
          <w:sz w:val="20"/>
        </w:rPr>
        <w:t xml:space="preserve"> </w:t>
      </w:r>
      <w:r>
        <w:rPr>
          <w:rFonts w:ascii="Times New Roman" w:hAnsi="Times New Roman"/>
          <w:color w:val="000000"/>
          <w:sz w:val="22"/>
          <w:u w:val="single"/>
        </w:rPr>
        <w:t>Notices</w:t>
      </w:r>
      <w:r>
        <w:rPr>
          <w:rFonts w:ascii="Times New Roman" w:hAnsi="Times New Roman"/>
          <w:color w:val="000000"/>
          <w:sz w:val="22"/>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delivery:</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If to the Company, addressed as follows:</w:t>
      </w:r>
    </w:p>
    <w:p>
      <w:pPr>
        <w:pStyle w:val="TextBody"/>
        <w:bidi w:val="0"/>
        <w:jc w:val="left"/>
        <w:rPr>
          <w:rFonts w:ascii="Times New Roman" w:hAnsi="Times New Roman"/>
          <w:color w:val="000000"/>
          <w:sz w:val="22"/>
        </w:rPr>
      </w:pPr>
      <w:r>
        <w:rPr>
          <w:rFonts w:ascii="Times New Roman" w:hAnsi="Times New Roman"/>
          <w:color w:val="000000"/>
          <w:sz w:val="22"/>
        </w:rPr>
        <w:t>Bolt Biotherapeutics, Inc.</w:t>
      </w:r>
    </w:p>
    <w:p>
      <w:pPr>
        <w:pStyle w:val="TextBody"/>
        <w:bidi w:val="0"/>
        <w:jc w:val="left"/>
        <w:rPr>
          <w:rFonts w:ascii="Times New Roman" w:hAnsi="Times New Roman"/>
          <w:color w:val="000000"/>
          <w:sz w:val="22"/>
        </w:rPr>
      </w:pPr>
      <w:r>
        <w:rPr>
          <w:rFonts w:ascii="Times New Roman" w:hAnsi="Times New Roman"/>
          <w:color w:val="000000"/>
          <w:sz w:val="22"/>
        </w:rPr>
        <w:t>900 Chesapeake Drive</w:t>
      </w:r>
    </w:p>
    <w:p>
      <w:pPr>
        <w:pStyle w:val="TextBody"/>
        <w:bidi w:val="0"/>
        <w:jc w:val="left"/>
        <w:rPr>
          <w:rFonts w:ascii="Times New Roman" w:hAnsi="Times New Roman"/>
          <w:color w:val="000000"/>
          <w:sz w:val="22"/>
        </w:rPr>
      </w:pPr>
      <w:r>
        <w:rPr>
          <w:rFonts w:ascii="Times New Roman" w:hAnsi="Times New Roman"/>
          <w:color w:val="000000"/>
          <w:sz w:val="22"/>
        </w:rPr>
        <w:t>Redwood City, CA 94063</w:t>
      </w:r>
    </w:p>
    <w:p>
      <w:pPr>
        <w:pStyle w:val="TextBody"/>
        <w:bidi w:val="0"/>
        <w:jc w:val="left"/>
        <w:rPr>
          <w:rFonts w:ascii="Times New Roman" w:hAnsi="Times New Roman"/>
          <w:color w:val="000000"/>
          <w:sz w:val="22"/>
        </w:rPr>
      </w:pPr>
      <w:r>
        <w:rPr>
          <w:rFonts w:ascii="Times New Roman" w:hAnsi="Times New Roman"/>
          <w:color w:val="000000"/>
          <w:sz w:val="22"/>
        </w:rPr>
        <w:t>Attention: Willie Quinn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notice@boltbio.com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(which shall not constitute notice):</w:t>
      </w:r>
    </w:p>
    <w:p>
      <w:pPr>
        <w:pStyle w:val="TextBody"/>
        <w:bidi w:val="0"/>
        <w:jc w:val="left"/>
        <w:rPr>
          <w:rFonts w:ascii="Times New Roman" w:hAnsi="Times New Roman"/>
          <w:color w:val="000000"/>
          <w:sz w:val="22"/>
        </w:rPr>
      </w:pPr>
      <w:r>
        <w:rPr>
          <w:rFonts w:ascii="Times New Roman" w:hAnsi="Times New Roman"/>
          <w:color w:val="000000"/>
          <w:sz w:val="22"/>
        </w:rPr>
        <w:t>Sidley Austin LLP</w:t>
      </w:r>
    </w:p>
    <w:p>
      <w:pPr>
        <w:pStyle w:val="TextBody"/>
        <w:bidi w:val="0"/>
        <w:jc w:val="left"/>
        <w:rPr>
          <w:rFonts w:ascii="Times New Roman" w:hAnsi="Times New Roman"/>
          <w:color w:val="000000"/>
          <w:sz w:val="22"/>
        </w:rPr>
      </w:pPr>
      <w:r>
        <w:rPr>
          <w:rFonts w:ascii="Times New Roman" w:hAnsi="Times New Roman"/>
          <w:color w:val="000000"/>
          <w:sz w:val="22"/>
        </w:rPr>
        <w:t>101 California Street, 35th Floor</w:t>
      </w:r>
    </w:p>
    <w:p>
      <w:pPr>
        <w:pStyle w:val="TextBody"/>
        <w:bidi w:val="0"/>
        <w:jc w:val="left"/>
        <w:rPr>
          <w:rFonts w:ascii="Times New Roman" w:hAnsi="Times New Roman"/>
          <w:color w:val="000000"/>
          <w:sz w:val="22"/>
        </w:rPr>
      </w:pPr>
      <w:r>
        <w:rPr>
          <w:rFonts w:ascii="Times New Roman" w:hAnsi="Times New Roman"/>
          <w:color w:val="000000"/>
          <w:sz w:val="22"/>
        </w:rPr>
        <w:t>San Francisco, CA 94111</w:t>
      </w:r>
    </w:p>
    <w:p>
      <w:pPr>
        <w:pStyle w:val="TextBody"/>
        <w:bidi w:val="0"/>
        <w:jc w:val="left"/>
        <w:rPr>
          <w:rFonts w:ascii="Times New Roman" w:hAnsi="Times New Roman"/>
          <w:color w:val="000000"/>
          <w:sz w:val="22"/>
        </w:rPr>
      </w:pPr>
      <w:r>
        <w:rPr>
          <w:rFonts w:ascii="Times New Roman" w:hAnsi="Times New Roman"/>
          <w:color w:val="000000"/>
          <w:sz w:val="22"/>
        </w:rPr>
        <w:t xml:space="preserve">Attention: Frank Rahmani and Nick DeAngelis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frahmani@sidley.com; ndeangelis@sidley.com</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and</w:t>
      </w:r>
    </w:p>
    <w:p>
      <w:pPr>
        <w:pStyle w:val="TextBody"/>
        <w:bidi w:val="0"/>
        <w:jc w:val="left"/>
        <w:rPr>
          <w:rFonts w:ascii="Times New Roman" w:hAnsi="Times New Roman"/>
          <w:color w:val="000000"/>
          <w:sz w:val="22"/>
        </w:rPr>
      </w:pPr>
      <w:r>
        <w:rPr>
          <w:rFonts w:ascii="Times New Roman" w:hAnsi="Times New Roman"/>
          <w:color w:val="000000"/>
          <w:sz w:val="22"/>
        </w:rPr>
        <w:t>Prana Therapies, Inc.</w:t>
      </w:r>
    </w:p>
    <w:p>
      <w:pPr>
        <w:pStyle w:val="TextBody"/>
        <w:bidi w:val="0"/>
        <w:jc w:val="left"/>
        <w:rPr>
          <w:rFonts w:ascii="Times New Roman" w:hAnsi="Times New Roman"/>
          <w:color w:val="000000"/>
          <w:sz w:val="22"/>
        </w:rPr>
      </w:pPr>
      <w:r>
        <w:rPr>
          <w:rFonts w:ascii="Times New Roman" w:hAnsi="Times New Roman"/>
          <w:color w:val="000000"/>
          <w:sz w:val="22"/>
        </w:rPr>
        <w:t>378 Neptune Avenue</w:t>
      </w:r>
    </w:p>
    <w:p>
      <w:pPr>
        <w:pStyle w:val="TextBody"/>
        <w:bidi w:val="0"/>
        <w:jc w:val="left"/>
        <w:rPr>
          <w:rFonts w:ascii="Times New Roman" w:hAnsi="Times New Roman"/>
          <w:color w:val="000000"/>
          <w:sz w:val="22"/>
        </w:rPr>
      </w:pPr>
      <w:r>
        <w:rPr>
          <w:rFonts w:ascii="Times New Roman" w:hAnsi="Times New Roman"/>
          <w:color w:val="000000"/>
          <w:sz w:val="22"/>
        </w:rPr>
        <w:t xml:space="preserve">Encinitas, CA 92024 </w:t>
      </w:r>
    </w:p>
    <w:p>
      <w:pPr>
        <w:pStyle w:val="TextBody"/>
        <w:bidi w:val="0"/>
        <w:jc w:val="left"/>
        <w:rPr>
          <w:rFonts w:ascii="Times New Roman" w:hAnsi="Times New Roman"/>
          <w:color w:val="000000"/>
          <w:sz w:val="22"/>
        </w:rPr>
      </w:pPr>
      <w:r>
        <w:rPr>
          <w:rFonts w:ascii="Times New Roman" w:hAnsi="Times New Roman"/>
          <w:color w:val="000000"/>
          <w:sz w:val="22"/>
        </w:rPr>
        <w:t xml:space="preserve">Attention: Sheila Gujrathi </w:t>
      </w:r>
    </w:p>
    <w:p>
      <w:pPr>
        <w:pStyle w:val="TextBody"/>
        <w:bidi w:val="0"/>
        <w:jc w:val="left"/>
        <w:rPr>
          <w:rFonts w:ascii="Times New Roman" w:hAnsi="Times New Roman"/>
          <w:color w:val="000000"/>
          <w:sz w:val="22"/>
        </w:rPr>
      </w:pPr>
      <w:r>
        <w:rPr>
          <w:rFonts w:ascii="Times New Roman" w:hAnsi="Times New Roman"/>
          <w:color w:val="000000"/>
          <w:sz w:val="22"/>
        </w:rPr>
        <w:t xml:space="preserve">Email: sgujrathi@pranatherapies.com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and</w:t>
      </w:r>
    </w:p>
    <w:p>
      <w:pPr>
        <w:pStyle w:val="TextBody"/>
        <w:bidi w:val="0"/>
        <w:jc w:val="left"/>
        <w:rPr>
          <w:rFonts w:ascii="Times New Roman" w:hAnsi="Times New Roman"/>
          <w:color w:val="000000"/>
          <w:sz w:val="22"/>
        </w:rPr>
      </w:pPr>
      <w:r>
        <w:rPr>
          <w:rFonts w:ascii="Times New Roman" w:hAnsi="Times New Roman"/>
          <w:color w:val="000000"/>
          <w:sz w:val="22"/>
        </w:rPr>
        <w:t>Cooley LLP</w:t>
      </w:r>
    </w:p>
    <w:p>
      <w:pPr>
        <w:pStyle w:val="TextBody"/>
        <w:bidi w:val="0"/>
        <w:jc w:val="left"/>
        <w:rPr>
          <w:rFonts w:ascii="Times New Roman" w:hAnsi="Times New Roman"/>
          <w:color w:val="000000"/>
          <w:sz w:val="22"/>
        </w:rPr>
      </w:pPr>
      <w:r>
        <w:rPr>
          <w:rFonts w:ascii="Times New Roman" w:hAnsi="Times New Roman"/>
          <w:color w:val="000000"/>
          <w:sz w:val="22"/>
        </w:rPr>
        <w:t>10265 Science Center Drive</w:t>
      </w:r>
    </w:p>
    <w:p>
      <w:pPr>
        <w:pStyle w:val="TextBody"/>
        <w:bidi w:val="0"/>
        <w:jc w:val="left"/>
        <w:rPr>
          <w:rFonts w:ascii="Times New Roman" w:hAnsi="Times New Roman"/>
          <w:color w:val="000000"/>
          <w:sz w:val="22"/>
        </w:rPr>
      </w:pPr>
      <w:r>
        <w:rPr>
          <w:rFonts w:ascii="Times New Roman" w:hAnsi="Times New Roman"/>
          <w:color w:val="000000"/>
          <w:sz w:val="22"/>
        </w:rPr>
        <w:t>San Diego, CA 92121</w:t>
      </w:r>
    </w:p>
    <w:p>
      <w:pPr>
        <w:pStyle w:val="TextBody"/>
        <w:bidi w:val="0"/>
        <w:jc w:val="left"/>
        <w:rPr>
          <w:rFonts w:ascii="Times New Roman" w:hAnsi="Times New Roman"/>
          <w:color w:val="000000"/>
          <w:sz w:val="22"/>
        </w:rPr>
      </w:pPr>
      <w:r>
        <w:rPr>
          <w:rFonts w:ascii="Times New Roman" w:hAnsi="Times New Roman"/>
          <w:color w:val="000000"/>
          <w:sz w:val="22"/>
        </w:rPr>
        <w:t>Attention: Ken Rollins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address: krollins@cooley.com</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If to any Investor, at its address or e-mail address set forth on its signature page or </w:t>
      </w:r>
      <w:r>
        <w:rPr>
          <w:rFonts w:ascii="Times New Roman" w:hAnsi="Times New Roman"/>
          <w:color w:val="000000"/>
          <w:sz w:val="22"/>
          <w:u w:val="single"/>
        </w:rPr>
        <w:t>Exhibit A</w:t>
      </w:r>
      <w:r>
        <w:rPr>
          <w:rFonts w:ascii="Times New Roman" w:hAnsi="Times New Roman"/>
          <w:color w:val="000000"/>
          <w:sz w:val="22"/>
        </w:rPr>
        <w:t xml:space="preserve">, or such address as subsequently modified by written notice given in accordance with this </w:t>
      </w:r>
      <w:r>
        <w:rPr>
          <w:rFonts w:ascii="Times New Roman" w:hAnsi="Times New Roman"/>
          <w:color w:val="000000"/>
          <w:sz w:val="22"/>
          <w:u w:val="single"/>
        </w:rPr>
        <w:t>Section 8.2</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Any Person may change the address to which notices and communications to it are to be addressed by notification as provided for herein.</w:t>
      </w:r>
    </w:p>
    <w:p>
      <w:pPr>
        <w:pStyle w:val="TextBody"/>
        <w:bidi w:val="0"/>
        <w:spacing w:before="0" w:after="240"/>
        <w:jc w:val="both"/>
        <w:rPr>
          <w:rFonts w:ascii="Times New Roman" w:hAnsi="Times New Roman"/>
          <w:sz w:val="20"/>
        </w:rPr>
      </w:pPr>
      <w:r>
        <w:rPr>
          <w:rFonts w:ascii="Times New Roman" w:hAnsi="Times New Roman"/>
          <w:color w:val="000000"/>
          <w:sz w:val="22"/>
        </w:rPr>
        <w:t>8.3</w:t>
      </w:r>
      <w:r>
        <w:rPr>
          <w:rFonts w:ascii="Times New Roman" w:hAnsi="Times New Roman"/>
          <w:color w:val="000000"/>
          <w:sz w:val="20"/>
        </w:rPr>
        <w:t xml:space="preserve"> </w:t>
      </w:r>
      <w:r>
        <w:rPr>
          <w:rFonts w:ascii="Times New Roman" w:hAnsi="Times New Roman"/>
          <w:color w:val="000000"/>
          <w:sz w:val="22"/>
          <w:u w:val="single"/>
        </w:rPr>
        <w:t>Consent to Electronic Notice</w:t>
      </w:r>
      <w:r>
        <w:rPr>
          <w:rFonts w:ascii="Times New Roman" w:hAnsi="Times New Roman"/>
          <w:color w:val="000000"/>
          <w:sz w:val="22"/>
        </w:rPr>
        <w:t xml:space="preserve">. Each Investor consents to the delivery of any stockholder notice pursuant to Section 232 of the DGCL, at the e-mail address set forth below the Investor’s name on the signature page or </w:t>
      </w:r>
      <w:r>
        <w:rPr>
          <w:rFonts w:ascii="Times New Roman" w:hAnsi="Times New Roman"/>
          <w:color w:val="000000"/>
          <w:sz w:val="22"/>
          <w:u w:val="single"/>
        </w:rPr>
        <w:t>Exhibit A</w:t>
      </w:r>
      <w:r>
        <w:rPr>
          <w:rFonts w:ascii="Times New Roman" w:hAnsi="Times New Roman"/>
          <w:color w:val="000000"/>
          <w:sz w:val="22"/>
        </w:rPr>
        <w: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pStyle w:val="TextBody"/>
        <w:bidi w:val="0"/>
        <w:spacing w:before="0" w:after="240"/>
        <w:jc w:val="both"/>
        <w:rPr>
          <w:rFonts w:ascii="Times New Roman" w:hAnsi="Times New Roman"/>
          <w:sz w:val="20"/>
        </w:rPr>
      </w:pPr>
      <w:r>
        <w:rPr>
          <w:rFonts w:ascii="Times New Roman" w:hAnsi="Times New Roman"/>
          <w:color w:val="000000"/>
          <w:sz w:val="22"/>
        </w:rPr>
        <w:t>8.4</w:t>
      </w:r>
      <w:r>
        <w:rPr>
          <w:rFonts w:ascii="Times New Roman" w:hAnsi="Times New Roman"/>
          <w:color w:val="000000"/>
          <w:sz w:val="20"/>
        </w:rPr>
        <w:t xml:space="preserve"> </w:t>
      </w:r>
      <w:r>
        <w:rPr>
          <w:rFonts w:ascii="Times New Roman" w:hAnsi="Times New Roman"/>
          <w:color w:val="000000"/>
          <w:sz w:val="22"/>
          <w:u w:val="single"/>
        </w:rPr>
        <w:t>Severability</w:t>
      </w:r>
      <w:r>
        <w:rPr>
          <w:rFonts w:ascii="Times New Roman" w:hAnsi="Times New Roman"/>
          <w:color w:val="000000"/>
          <w:sz w:val="22"/>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240"/>
        <w:jc w:val="both"/>
        <w:rPr>
          <w:rFonts w:ascii="Times New Roman" w:hAnsi="Times New Roman"/>
          <w:sz w:val="20"/>
        </w:rPr>
      </w:pPr>
      <w:r>
        <w:rPr>
          <w:rFonts w:ascii="Times New Roman" w:hAnsi="Times New Roman"/>
          <w:color w:val="000000"/>
          <w:sz w:val="22"/>
        </w:rPr>
        <w:t>8.5</w:t>
      </w:r>
      <w:r>
        <w:rPr>
          <w:rFonts w:ascii="Times New Roman" w:hAnsi="Times New Roman"/>
          <w:color w:val="000000"/>
          <w:sz w:val="20"/>
        </w:rPr>
        <w:t xml:space="preserve"> </w:t>
      </w:r>
      <w:r>
        <w:rPr>
          <w:rFonts w:ascii="Times New Roman" w:hAnsi="Times New Roman"/>
          <w:color w:val="000000"/>
          <w:sz w:val="22"/>
          <w:u w:val="single"/>
        </w:rPr>
        <w:t>Governing Law; Submission to Jurisdiction; Venue; Waiver of Trial by Jury</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This Agreement, each of the other Transaction Documents, the interpretation and enforcement hereof and thereof, and any claim or controversy arising hereunder or thereunder, shall be governed by, and construed in accordance with, the laws of the State of New York without regard to choice of laws or conflicts of laws provisions thereof that would result in the application of the laws of any other jurisdiction.</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Each of the Company and the Investors hereby irrevocably and unconditionally:</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submits for itself and its property in any legal action or proceeding relating solely to this Agreement or the transactions contemplated hereby, to the general jurisdiction of any state court or United States Federal court sitting in the Borough of Manhattan, City of New York in the State of New York;</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hAnsi="Times New Roman"/>
          <w:color w:val="000000"/>
          <w:sz w:val="22"/>
          <w:u w:val="single"/>
        </w:rPr>
        <w:t>Section 8.2</w:t>
      </w:r>
      <w:r>
        <w:rPr>
          <w:rFonts w:ascii="Times New Roman" w:hAnsi="Times New Roman"/>
          <w:color w:val="000000"/>
          <w:sz w:val="20"/>
        </w:rPr>
        <w:t xml:space="preserve"> </w:t>
      </w:r>
      <w:r>
        <w:rPr>
          <w:rFonts w:ascii="Times New Roman" w:hAnsi="Times New Roman"/>
          <w:color w:val="000000"/>
          <w:sz w:val="22"/>
        </w:rPr>
        <w:t>or at such other address of which the other party shall have been notified pursuant thereto;</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is not available despite the intentions of the parties hereto;</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rPr>
        <w:t>irrevocably and unconditionally waives trial by jury in any legal action or proceeding in relation to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8.6</w:t>
      </w:r>
      <w:r>
        <w:rPr>
          <w:rFonts w:ascii="Times New Roman" w:hAnsi="Times New Roman"/>
          <w:color w:val="000000"/>
          <w:sz w:val="20"/>
        </w:rPr>
        <w:t xml:space="preserve"> </w:t>
      </w:r>
      <w:r>
        <w:rPr>
          <w:rFonts w:ascii="Times New Roman" w:hAnsi="Times New Roman"/>
          <w:color w:val="000000"/>
          <w:sz w:val="22"/>
          <w:u w:val="single"/>
        </w:rPr>
        <w:t>Waiver</w:t>
      </w:r>
      <w:r>
        <w:rPr>
          <w:rFonts w:ascii="Times New Roman" w:hAnsi="Times New Roman"/>
          <w:color w:val="000000"/>
          <w:sz w:val="22"/>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8.7</w:t>
      </w:r>
      <w:r>
        <w:rPr>
          <w:rFonts w:ascii="Times New Roman" w:hAnsi="Times New Roman"/>
          <w:color w:val="000000"/>
          <w:sz w:val="20"/>
        </w:rPr>
        <w:t xml:space="preserve"> </w:t>
      </w:r>
      <w:r>
        <w:rPr>
          <w:rFonts w:ascii="Times New Roman" w:hAnsi="Times New Roman"/>
          <w:color w:val="000000"/>
          <w:sz w:val="22"/>
          <w:u w:val="single"/>
        </w:rPr>
        <w:t>Expenses</w:t>
      </w:r>
      <w:r>
        <w:rPr>
          <w:rFonts w:ascii="Times New Roman" w:hAnsi="Times New Roman"/>
          <w:color w:val="000000"/>
          <w:sz w:val="22"/>
        </w:rPr>
        <w:t>. Except as expressly set forth in the Transaction Documents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w:t>
      </w:r>
    </w:p>
    <w:p>
      <w:pPr>
        <w:pStyle w:val="TextBody"/>
        <w:bidi w:val="0"/>
        <w:spacing w:before="0" w:after="240"/>
        <w:jc w:val="both"/>
        <w:rPr>
          <w:rFonts w:ascii="Times New Roman" w:hAnsi="Times New Roman"/>
          <w:sz w:val="20"/>
        </w:rPr>
      </w:pPr>
      <w:r>
        <w:rPr>
          <w:rFonts w:ascii="Times New Roman" w:hAnsi="Times New Roman"/>
          <w:color w:val="000000"/>
          <w:sz w:val="22"/>
        </w:rPr>
        <w:t>8.8</w:t>
      </w:r>
      <w:r>
        <w:rPr>
          <w:rFonts w:ascii="Times New Roman" w:hAnsi="Times New Roman"/>
          <w:color w:val="000000"/>
          <w:sz w:val="20"/>
        </w:rPr>
        <w:t xml:space="preserve"> </w:t>
      </w:r>
      <w:r>
        <w:rPr>
          <w:rFonts w:ascii="Times New Roman" w:hAnsi="Times New Roman"/>
          <w:color w:val="000000"/>
          <w:sz w:val="22"/>
          <w:u w:val="single"/>
        </w:rPr>
        <w:t>Assignment</w:t>
      </w:r>
      <w:r>
        <w:rPr>
          <w:rFonts w:ascii="Times New Roman" w:hAnsi="Times New Roman"/>
          <w:color w:val="000000"/>
          <w:sz w:val="22"/>
        </w:rPr>
        <w:t xml:space="preserve">. Except as otherwise provided in the Certificate of Designation,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Preferred Shares and Warrants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hAnsi="Times New Roman"/>
          <w:color w:val="000000"/>
          <w:sz w:val="22"/>
          <w:u w:val="single"/>
        </w:rPr>
        <w:t>Section 4</w:t>
      </w:r>
      <w:r>
        <w:rPr>
          <w:rFonts w:ascii="Times New Roman" w:hAnsi="Times New Roman"/>
          <w:color w:val="000000"/>
          <w:sz w:val="22"/>
        </w:rPr>
        <w:t>).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8.9</w:t>
      </w:r>
      <w:r>
        <w:rPr>
          <w:rFonts w:ascii="Times New Roman" w:hAnsi="Times New Roman"/>
          <w:color w:val="000000"/>
          <w:sz w:val="20"/>
        </w:rPr>
        <w:t xml:space="preserve"> </w:t>
      </w:r>
      <w:r>
        <w:rPr>
          <w:rFonts w:ascii="Times New Roman" w:hAnsi="Times New Roman"/>
          <w:color w:val="000000"/>
          <w:sz w:val="22"/>
          <w:u w:val="single"/>
        </w:rPr>
        <w:t>Confidential Information</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(in each case, to the extent such Person is obligated to maintain the confidentiality of such information) and other than as may be required by law.</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may file a copy of this Agreement and the Registration Rights Agreement with the SEC as exhibit to a periodic report or a registration statement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8.10</w:t>
      </w:r>
      <w:r>
        <w:rPr>
          <w:rFonts w:ascii="Times New Roman" w:hAnsi="Times New Roman"/>
          <w:color w:val="000000"/>
          <w:sz w:val="20"/>
        </w:rPr>
        <w:t xml:space="preserve"> </w:t>
      </w:r>
      <w:r>
        <w:rPr>
          <w:rFonts w:ascii="Times New Roman" w:hAnsi="Times New Roman"/>
          <w:color w:val="000000"/>
          <w:sz w:val="22"/>
          <w:u w:val="single"/>
        </w:rPr>
        <w:t>Reliance by and Exculpation of Placement Agent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Each Investor agrees for the express benefit of the Placement Agent and its Affiliates and representatives that (i) it is not relying upon, and has not relied upon, any statement, representation or warranty made by the Placement Agent, any of its affiliates or any of its or its representatives, in making its investment or decision to invest in the Company, (ii) each Placement Agent is acting solely as placement agent in connection with the transactions contemplated hereby and is not acting as an underwriter, initial purchaser, dealer or in any other such capacity and is not and shall not be construed as a fiduciary for such Investor, (iii) the Placement Agent, its Affiliates and representatives have not made, and will not make any representations or warranties with respect to the Company, Prana, or the offer and sale of the Securities or any other matter concerning the Company or Prana or the transactions contemplated hereby, and the Investor will not rely on any statements made by the Placement Agent, orally or in writing, to the contrary, (iv) the Investor will be responsible for conducting its own due diligence investigation with respect to the Company and Prana, and the offer and sale of the Securities, (v) the Investor will be purchasing Securities based on the results of its own due diligence investigation of the Company and Prana, and the Placement Agent and each of its directors, officers, employees, representatives, and controlling persons have made no independent investigation with respect to the Company, Prana, the Securities, or the accuracy, completeness, or adequacy of any information supplied to the Investor by the Company, (vi) the Investor has negotiated the offer and sale of the Securities directly with the Company, and the Placement Agent will not be responsible for the ultimate success of any such investment, (vii) the Placement Agent will not have any liability or obligation (including without limitation, for or with respect to any losses, claims, damages, obligations, penalties, judgments, awards, liabilities, costs, expenses or disbursements incurred by such Investor, the Company, Prana or any other person or entity), whether in contract, tort or otherwise, to such Investor, or to any person claiming through it, in respect of the execution, delivery and performance of the Transaction Documents, except in each case for such party’s own gross negligence, willful misconduct or bad faith, and (viii) the decision to invest in the Company will involve a significant degree of risk, including a risk of total loss of such investment. Each Investor further represents and warrants to the Placement Agent that it, including any fund or funds that it manages or advises that participates in the offer and sale of the Securities, is permitted under its constitutive documents (including, without limitation, all limited partnership agreements, charters, bylaws, limited liability company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agreements, all applicable side letters with investors, and similar documents) to make investments of the type contemplated by this Agreement. This </w:t>
      </w:r>
      <w:r>
        <w:rPr>
          <w:rFonts w:ascii="Times New Roman" w:hAnsi="Times New Roman"/>
          <w:color w:val="000000"/>
          <w:sz w:val="22"/>
          <w:u w:val="single"/>
        </w:rPr>
        <w:t>Section 8.10</w:t>
      </w:r>
      <w:r>
        <w:rPr>
          <w:rFonts w:ascii="Times New Roman" w:hAnsi="Times New Roman"/>
          <w:color w:val="000000"/>
          <w:sz w:val="22"/>
        </w:rPr>
        <w:t xml:space="preserve"> shall survive any termination of this Agreement. None of the Placement Agents or any of its Affiliates has made or makes any representation as to the quality or value of the Preferred Shares, and the Placement Agent and its Affiliates may have acquired non-public information with respect to the Company or Prana which the Investor agrees need not be provided to it.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Company agrees and acknowledges that the Placement Agent may rely on its representations, warranties, agreements and covenants contained in this Agreement and each Investor agrees that the Placement Agent may rely on such Investor’s representations and warranties contained in this Agreement as if such representations and warranties, as applicable, were made directly to the Placement Agent.</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Neither the Placement Agent nor any of its Affiliates or representatives (1) shall be liable for any improper payment made in accordance with the information provided by the Company or Prana; (2) makes any representation or warranty, or has any responsibilities as to the validity, enforceability, accuracy, value or genuineness of any information, certificates or documentation delivered by or on behalf of the Company or Prana pursuant to the Transaction Documents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Documents or (y) for anything which any of them may do or refrain from doing in connection with the Transaction Documents, except in each case for such party’s own gross negligence or willful misconduct.</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The Company agrees that the Placement Agent and its Affiliates and representatives shall be entitled to (1) rely on, and shall be protected in acting upon, any certificate, instrument, notice, letter or any other document or security delivered to any of them by or on behalf of the Company or Prana, and (2) be indemnified by the Company for acting as the Placement Agent hereunder pursuant to the indemnification provisions set forth in the applicable letter agreement between the Company and the Placement Agent.</w:t>
      </w:r>
    </w:p>
    <w:p>
      <w:pPr>
        <w:pStyle w:val="TextBody"/>
        <w:bidi w:val="0"/>
        <w:spacing w:before="0" w:after="240"/>
        <w:jc w:val="both"/>
        <w:rPr>
          <w:rFonts w:ascii="Times New Roman" w:hAnsi="Times New Roman"/>
          <w:sz w:val="20"/>
        </w:rPr>
      </w:pPr>
      <w:r>
        <w:rPr>
          <w:rFonts w:ascii="Times New Roman" w:hAnsi="Times New Roman"/>
          <w:color w:val="000000"/>
          <w:sz w:val="22"/>
        </w:rPr>
        <w:t>8.11</w:t>
      </w:r>
      <w:r>
        <w:rPr>
          <w:rFonts w:ascii="Times New Roman" w:hAnsi="Times New Roman"/>
          <w:color w:val="000000"/>
          <w:sz w:val="20"/>
        </w:rPr>
        <w:t xml:space="preserve"> </w:t>
      </w:r>
      <w:r>
        <w:rPr>
          <w:rFonts w:ascii="Times New Roman" w:hAnsi="Times New Roman"/>
          <w:color w:val="000000"/>
          <w:sz w:val="22"/>
          <w:u w:val="single"/>
        </w:rPr>
        <w:t>Third Parties</w:t>
      </w:r>
      <w:r>
        <w:rPr>
          <w:rFonts w:ascii="Times New Roman" w:hAnsi="Times New Roman"/>
          <w:color w:val="000000"/>
          <w:sz w:val="22"/>
        </w:rPr>
        <w:t xml:space="preserve">. Nothing in this Agreement, express or implied, is intended to confer on any Person (including, without limitation, any partner, member, shareholder, director, officer, employee or other beneficial owner of any party to this Agreement, in its own capacity as such or in bringing a derivative action on behalf of a party to this Agreement)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(i) each Placement Agent is an intended third-party beneficiary of the representations and warranties of the Company set forth in </w:t>
      </w:r>
      <w:r>
        <w:rPr>
          <w:rFonts w:ascii="Times New Roman" w:hAnsi="Times New Roman"/>
          <w:color w:val="000000"/>
          <w:sz w:val="22"/>
          <w:u w:val="single"/>
        </w:rPr>
        <w:t>Section 3</w:t>
      </w:r>
      <w:r>
        <w:rPr>
          <w:rFonts w:ascii="Times New Roman" w:hAnsi="Times New Roman"/>
          <w:color w:val="000000"/>
          <w:sz w:val="22"/>
        </w:rPr>
        <w:t xml:space="preserve">, the representations and warranties of each Investor set forth in </w:t>
      </w:r>
      <w:r>
        <w:rPr>
          <w:rFonts w:ascii="Times New Roman" w:hAnsi="Times New Roman"/>
          <w:color w:val="000000"/>
          <w:sz w:val="22"/>
          <w:u w:val="single"/>
        </w:rPr>
        <w:t>Section 4</w:t>
      </w:r>
      <w:r>
        <w:rPr>
          <w:rFonts w:ascii="Times New Roman" w:hAnsi="Times New Roman"/>
          <w:color w:val="000000"/>
          <w:sz w:val="22"/>
        </w:rPr>
        <w:t xml:space="preserve">, </w:t>
      </w:r>
      <w:r>
        <w:rPr>
          <w:rFonts w:ascii="Times New Roman" w:hAnsi="Times New Roman"/>
          <w:color w:val="000000"/>
          <w:sz w:val="22"/>
          <w:u w:val="single"/>
        </w:rPr>
        <w:t>Section 6.1(g)</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8.10</w:t>
      </w:r>
      <w:r>
        <w:rPr>
          <w:rFonts w:ascii="Times New Roman" w:hAnsi="Times New Roman"/>
          <w:color w:val="000000"/>
          <w:sz w:val="20"/>
        </w:rPr>
        <w:t xml:space="preserve"> </w:t>
      </w:r>
      <w:r>
        <w:rPr>
          <w:rFonts w:ascii="Times New Roman" w:hAnsi="Times New Roman"/>
          <w:color w:val="000000"/>
          <w:sz w:val="22"/>
        </w:rPr>
        <w:t xml:space="preserve">and (ii) the Indemnified Persons are intended third-party beneficiaries of </w:t>
      </w:r>
      <w:r>
        <w:rPr>
          <w:rFonts w:ascii="Times New Roman" w:hAnsi="Times New Roman"/>
          <w:color w:val="000000"/>
          <w:sz w:val="22"/>
          <w:u w:val="single"/>
        </w:rPr>
        <w:t>Section 5.9</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8.12</w:t>
      </w:r>
      <w:r>
        <w:rPr>
          <w:rFonts w:ascii="Times New Roman" w:hAnsi="Times New Roman"/>
          <w:color w:val="000000"/>
          <w:sz w:val="20"/>
        </w:rPr>
        <w:t xml:space="preserve"> </w:t>
      </w:r>
      <w:r>
        <w:rPr>
          <w:rFonts w:ascii="Times New Roman" w:hAnsi="Times New Roman"/>
          <w:color w:val="000000"/>
          <w:sz w:val="22"/>
          <w:u w:val="single"/>
        </w:rPr>
        <w:t>Independent Nature of Investors’ Obligations and Right</w:t>
      </w:r>
      <w:r>
        <w:rPr>
          <w:rFonts w:ascii="Times New Roman" w:hAnsi="Times New Roman"/>
          <w:color w:val="000000"/>
          <w:sz w:val="22"/>
        </w:rPr>
        <w:t>.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Investors are in any way acting in concert or as a group (including a “group” within the meaning of Section 13(d)(3) of the Exchange Act),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none of Sidley Austin LLP, Cooley LLP or counsel to the Placement Agent has rendered legal advice to such Investor in connection with the transactions contemplated hereby.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Documents for the convenience of the Company and not because it was required or requested to do so by any Investor.</w:t>
      </w:r>
    </w:p>
    <w:p>
      <w:pPr>
        <w:pStyle w:val="TextBody"/>
        <w:bidi w:val="0"/>
        <w:spacing w:before="0" w:after="240"/>
        <w:jc w:val="both"/>
        <w:rPr>
          <w:rFonts w:ascii="Times New Roman" w:hAnsi="Times New Roman"/>
          <w:sz w:val="20"/>
        </w:rPr>
      </w:pPr>
      <w:r>
        <w:rPr>
          <w:rFonts w:ascii="Times New Roman" w:hAnsi="Times New Roman"/>
          <w:color w:val="000000"/>
          <w:sz w:val="22"/>
        </w:rPr>
        <w:t>8.13</w:t>
      </w:r>
      <w:r>
        <w:rPr>
          <w:rFonts w:ascii="Times New Roman" w:hAnsi="Times New Roman"/>
          <w:color w:val="000000"/>
          <w:sz w:val="20"/>
        </w:rPr>
        <w:t xml:space="preserve"> </w:t>
      </w:r>
      <w:r>
        <w:rPr>
          <w:rFonts w:ascii="Times New Roman" w:hAnsi="Times New Roman"/>
          <w:color w:val="000000"/>
          <w:sz w:val="22"/>
          <w:u w:val="single"/>
        </w:rPr>
        <w:t>Specific Performance</w:t>
      </w:r>
      <w:r>
        <w:rPr>
          <w:rFonts w:ascii="Times New Roman" w:hAnsi="Times New Roman"/>
          <w:color w:val="000000"/>
          <w:sz w:val="22"/>
        </w:rPr>
        <w:t xml:space="preserve">. The parties hereto acknowledge and agree that (i) this Agreement is being entered into in order to induce the Company to execute and deliver the Merger Agreement and (ii) irreparable damage would occur in the event that any of the provisions of this Agreement were not performed in accordance with their specific terms or were otherwise breached and that money or other legal remedies would not be an adequate remedy for such damage. It is accordingly agreed that the parties shall be entitled to equitable relief, including in the form of an injunction or injunctions to prevent breaches or threatened breaches of this Agreement and to enforce specifically the terms and provisions of this Agreement, this being in addition to any other remedy to which such party is entitled at law, in equity, in contract, in tort or otherwise. The parties hereto acknowledge and agree that the Company shall be entitled to specifically enforce each Investor’s obligations to fund the Aggregate Purchase Price and the provisions of this Agreement, in each case, on the terms and subject to the conditions set forth herein. The parties hereto further acknowledge and agree: (x) to the extent permitted by applicable law, to waive any requirement for the security or posting of any bond in connection with any such equitable remedy; (y) not to assert that a remedy of specific enforcement pursuant to this </w:t>
      </w:r>
      <w:r>
        <w:rPr>
          <w:rFonts w:ascii="Times New Roman" w:hAnsi="Times New Roman"/>
          <w:color w:val="000000"/>
          <w:sz w:val="22"/>
          <w:u w:val="single"/>
        </w:rPr>
        <w:t>Section 8.13</w:t>
      </w:r>
      <w:r>
        <w:rPr>
          <w:rFonts w:ascii="Times New Roman" w:hAnsi="Times New Roman"/>
          <w:color w:val="000000"/>
          <w:sz w:val="20"/>
        </w:rPr>
        <w:t xml:space="preserve"> </w:t>
      </w:r>
      <w:r>
        <w:rPr>
          <w:rFonts w:ascii="Times New Roman" w:hAnsi="Times New Roman"/>
          <w:color w:val="000000"/>
          <w:sz w:val="22"/>
        </w:rPr>
        <w:t>is unenforceable, invalid, contrary to applicable law or inequitable for any reason; and (z) to waive any defenses in any action for specific performance, including the defense that a remedy at law would be adequate. In connection with any proceeding for which the Company is being granted an award of money damages, the Investor agrees that such damages, to the extent payable by such party, shall include, without limitation, damages related to the consideration that is or was to be paid to the Company under the Merger Agreement and/or this Agreement and such damages are not limited to an award of out-of-pocket fees and expenses related to the Merger Agreement and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8.14</w:t>
      </w:r>
      <w:r>
        <w:rPr>
          <w:rFonts w:ascii="Times New Roman" w:hAnsi="Times New Roman"/>
          <w:color w:val="000000"/>
          <w:sz w:val="20"/>
        </w:rPr>
        <w:t xml:space="preserve"> </w:t>
      </w:r>
      <w:r>
        <w:rPr>
          <w:rFonts w:ascii="Times New Roman" w:hAnsi="Times New Roman"/>
          <w:color w:val="000000"/>
          <w:sz w:val="22"/>
          <w:u w:val="single"/>
        </w:rPr>
        <w:t>Headings</w:t>
      </w:r>
      <w:r>
        <w:rPr>
          <w:rFonts w:ascii="Times New Roman" w:hAnsi="Times New Roman"/>
          <w:color w:val="000000"/>
          <w:sz w:val="22"/>
        </w:rPr>
        <w:t>. The titles, subtitles and headings in this Agreement are for convenience of reference and shall not form part of, or affect the interpretation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8.15</w:t>
      </w:r>
      <w:r>
        <w:rPr>
          <w:rFonts w:ascii="Times New Roman" w:hAnsi="Times New Roman"/>
          <w:color w:val="000000"/>
          <w:sz w:val="20"/>
        </w:rPr>
        <w:t xml:space="preserve"> </w:t>
      </w:r>
      <w:r>
        <w:rPr>
          <w:rFonts w:ascii="Times New Roman" w:hAnsi="Times New Roman"/>
          <w:color w:val="000000"/>
          <w:sz w:val="22"/>
          <w:u w:val="single"/>
        </w:rPr>
        <w:t>Counterparts</w:t>
      </w:r>
      <w:r>
        <w:rPr>
          <w:rFonts w:ascii="Times New Roman" w:hAnsi="Times New Roman"/>
          <w:color w:val="000000"/>
          <w:sz w:val="22"/>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240"/>
        <w:jc w:val="both"/>
        <w:rPr>
          <w:rFonts w:ascii="Times New Roman" w:hAnsi="Times New Roman"/>
          <w:sz w:val="20"/>
        </w:rPr>
      </w:pPr>
      <w:r>
        <w:rPr>
          <w:rFonts w:ascii="Times New Roman" w:hAnsi="Times New Roman"/>
          <w:color w:val="000000"/>
          <w:sz w:val="22"/>
        </w:rPr>
        <w:t>8.16</w:t>
      </w:r>
      <w:r>
        <w:rPr>
          <w:rFonts w:ascii="Times New Roman" w:hAnsi="Times New Roman"/>
          <w:color w:val="000000"/>
          <w:sz w:val="20"/>
        </w:rPr>
        <w:t xml:space="preserve"> </w:t>
      </w:r>
      <w:r>
        <w:rPr>
          <w:rFonts w:ascii="Times New Roman" w:hAnsi="Times New Roman"/>
          <w:color w:val="000000"/>
          <w:sz w:val="22"/>
          <w:u w:val="single"/>
        </w:rPr>
        <w:t>Entire Agreement; Amendments</w:t>
      </w:r>
      <w:r>
        <w:rPr>
          <w:rFonts w:ascii="Times New Roman" w:hAnsi="Times New Roman"/>
          <w:color w:val="000000"/>
          <w:sz w:val="22"/>
        </w:rPr>
        <w:t>. This Agreement and the other Transaction Documents (including all schedules and exhibits hereto and thereto) constitute the entire agreement between the parties hereto respecting the subject matter of this Agreement and supersede all prior agreements, negotiations, understandings, representations and statements respecting the subject matter of this Agreement, whether written or oral. No amendment, modification, alteration, or change in any of the terms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of this Agreement shall be valid or binding upon the parties hereto unless made in writing and duly executed by the Company and the Investors of at least a majority in interest of the Securities then held by the Investors, provided that (i) prior to the Closing, the consent of all Investors shall be required and (ii) if any amendment, modification or waiver disproportionately and adversely impacts an Investor (or group of Investors), the consent of such Investor shall also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w:t>
      </w:r>
      <w:r>
        <w:rPr>
          <w:rFonts w:ascii="Times New Roman" w:hAnsi="Times New Roman"/>
          <w:color w:val="000000"/>
          <w:sz w:val="22"/>
          <w:u w:val="single"/>
        </w:rPr>
        <w:t>Section 8.10</w:t>
      </w:r>
      <w:r>
        <w:rPr>
          <w:rFonts w:ascii="Times New Roman" w:hAnsi="Times New Roman"/>
          <w:color w:val="000000"/>
          <w:sz w:val="22"/>
        </w:rPr>
        <w:t xml:space="preserve"> shall be valid without the prior written consent of the Placement Agent, which consent may be granted or withheld in the sole discretion of the Placement Agent.</w:t>
      </w:r>
    </w:p>
    <w:p>
      <w:pPr>
        <w:pStyle w:val="TextBody"/>
        <w:bidi w:val="0"/>
        <w:spacing w:before="0" w:after="240"/>
        <w:jc w:val="both"/>
        <w:rPr>
          <w:rFonts w:ascii="Times New Roman" w:hAnsi="Times New Roman"/>
          <w:sz w:val="20"/>
        </w:rPr>
      </w:pPr>
      <w:r>
        <w:rPr>
          <w:rFonts w:ascii="Times New Roman" w:hAnsi="Times New Roman"/>
          <w:color w:val="000000"/>
          <w:sz w:val="22"/>
        </w:rPr>
        <w:t>8.17</w:t>
      </w:r>
      <w:r>
        <w:rPr>
          <w:rFonts w:ascii="Times New Roman" w:hAnsi="Times New Roman"/>
          <w:color w:val="000000"/>
          <w:sz w:val="20"/>
        </w:rPr>
        <w:t xml:space="preserve"> </w:t>
      </w:r>
      <w:r>
        <w:rPr>
          <w:rFonts w:ascii="Times New Roman" w:hAnsi="Times New Roman"/>
          <w:color w:val="000000"/>
          <w:sz w:val="22"/>
          <w:u w:val="single"/>
        </w:rPr>
        <w:t>Survival</w:t>
      </w:r>
      <w:r>
        <w:rPr>
          <w:rFonts w:ascii="Times New Roman" w:hAnsi="Times New Roman"/>
          <w:color w:val="000000"/>
          <w:sz w:val="22"/>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8.18</w:t>
      </w:r>
      <w:r>
        <w:rPr>
          <w:rFonts w:ascii="Times New Roman" w:hAnsi="Times New Roman"/>
          <w:color w:val="000000"/>
          <w:sz w:val="20"/>
        </w:rPr>
        <w:t xml:space="preserve"> </w:t>
      </w:r>
      <w:r>
        <w:rPr>
          <w:rFonts w:ascii="Times New Roman" w:hAnsi="Times New Roman"/>
          <w:color w:val="000000"/>
          <w:sz w:val="22"/>
          <w:u w:val="single"/>
        </w:rPr>
        <w:t>Contract Interpretation</w:t>
      </w:r>
      <w:r>
        <w:rPr>
          <w:rFonts w:ascii="Times New Roman" w:hAnsi="Times New Roman"/>
          <w:color w:val="000000"/>
          <w:sz w:val="22"/>
        </w:rPr>
        <w:t>. This Agreement is the joint product of each Investor and the Company, and each provision of this Agreement has been subject to the mutual consultation, negotiation and agreement of such parties and shall not be construed for or against any party hereto.</w:t>
      </w:r>
    </w:p>
    <w:p>
      <w:pPr>
        <w:pStyle w:val="TextBody"/>
        <w:bidi w:val="0"/>
        <w:spacing w:before="0" w:after="240"/>
        <w:jc w:val="both"/>
        <w:rPr>
          <w:rFonts w:ascii="Times New Roman" w:hAnsi="Times New Roman"/>
          <w:sz w:val="20"/>
        </w:rPr>
      </w:pPr>
      <w:r>
        <w:rPr>
          <w:rFonts w:ascii="Times New Roman" w:hAnsi="Times New Roman"/>
          <w:color w:val="000000"/>
          <w:sz w:val="22"/>
        </w:rPr>
        <w:t>8.19</w:t>
      </w:r>
      <w:r>
        <w:rPr>
          <w:rFonts w:ascii="Times New Roman" w:hAnsi="Times New Roman"/>
          <w:color w:val="000000"/>
          <w:sz w:val="20"/>
        </w:rPr>
        <w:t xml:space="preserve"> </w:t>
      </w:r>
      <w:r>
        <w:rPr>
          <w:rFonts w:ascii="Times New Roman" w:hAnsi="Times New Roman"/>
          <w:color w:val="000000"/>
          <w:sz w:val="22"/>
          <w:u w:val="single"/>
        </w:rPr>
        <w:t>Arm’s Length Negotiations</w:t>
      </w:r>
      <w:r>
        <w:rPr>
          <w:rFonts w:ascii="Times New Roman" w:hAnsi="Times New Roman"/>
          <w:color w:val="000000"/>
          <w:sz w:val="22"/>
        </w:rPr>
        <w:t>. For the avoidance of doubt, the parties acknowledge and confirm that the terms and conditions of the Securities were determined as a result of arm’s-length negotiations.</w:t>
      </w:r>
    </w:p>
    <w:p>
      <w:pPr>
        <w:pStyle w:val="TextBody"/>
        <w:bidi w:val="0"/>
        <w:spacing w:before="0" w:after="240"/>
        <w:jc w:val="both"/>
        <w:rPr>
          <w:rFonts w:ascii="Times New Roman" w:hAnsi="Times New Roman"/>
          <w:sz w:val="20"/>
        </w:rPr>
      </w:pPr>
      <w:r>
        <w:rPr>
          <w:rFonts w:ascii="Times New Roman" w:hAnsi="Times New Roman"/>
          <w:color w:val="000000"/>
          <w:sz w:val="22"/>
        </w:rPr>
        <w:t>8.20</w:t>
      </w:r>
      <w:r>
        <w:rPr>
          <w:rFonts w:ascii="Times New Roman" w:hAnsi="Times New Roman"/>
          <w:color w:val="000000"/>
          <w:sz w:val="20"/>
        </w:rPr>
        <w:t xml:space="preserve"> </w:t>
      </w:r>
      <w:r>
        <w:rPr>
          <w:rFonts w:ascii="Times New Roman" w:hAnsi="Times New Roman"/>
          <w:color w:val="000000"/>
          <w:sz w:val="22"/>
          <w:u w:val="single"/>
        </w:rPr>
        <w:t>Construction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References to “cash,” “dollars” or “$” are to United States dollars.</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As used in this Agreement, the words “include” and “including,” and variations thereof, shall not be deemed to be terms of limitation, but rather shall be deemed to be followed by the words “without limitation.”</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Except as otherwise indicated, all references in this Agreement to “Sections,” “Exhibits” and “Schedules” are intended to refer to Sections of this Agreement and Exhibits and Schedules to this Agreement, respectively.</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[Remainder of Page Intentionally Left Blank.]</w:t>
      </w:r>
    </w:p>
    <w:p>
      <w:pPr>
        <w:pStyle w:val="TextBody"/>
        <w:bidi w:val="0"/>
        <w:jc w:val="left"/>
        <w:rPr>
          <w:rFonts w:ascii="Times New Roman" w:hAnsi="Times New Roman"/>
          <w:i/>
          <w:color w:val="000000"/>
          <w:sz w:val="22"/>
        </w:rPr>
      </w:pPr>
      <w:r>
        <w:rPr>
          <w:rFonts w:ascii="Times New Roman" w:hAnsi="Times New Roman"/>
          <w:i/>
          <w:color w:val="000000"/>
          <w:sz w:val="22"/>
        </w:rPr>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the parties hereto have executed this Agreement as of the day and year first above written.</w:t>
      </w:r>
    </w:p>
    <w:tbl>
      <w:tblPr>
        <w:tblW w:w="3504" w:type="dxa"/>
        <w:jc w:val="left"/>
        <w:tblInd w:w="0" w:type="dxa"/>
        <w:tblLayout w:type="fixed"/>
        <w:tblCellMar>
          <w:top w:w="28" w:type="dxa"/>
          <w:left w:w="28" w:type="dxa"/>
          <w:bottom w:w="28" w:type="dxa"/>
          <w:right w:w="28" w:type="dxa"/>
        </w:tblCellMar>
      </w:tblPr>
      <w:tblGrid>
        <w:gridCol w:w="161"/>
        <w:gridCol w:w="146"/>
        <w:gridCol w:w="451"/>
        <w:gridCol w:w="27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smallCaps/>
                <w:color w:val="000000"/>
                <w:sz w:val="20"/>
              </w:rPr>
            </w:pPr>
            <w:r>
              <w:rPr>
                <w:rFonts w:ascii="Times New Roman" w:hAnsi="Times New Roman"/>
                <w:b/>
                <w:smallCaps/>
                <w:color w:val="000000"/>
                <w:sz w:val="20"/>
              </w:rPr>
              <w:t>Bolt Biotherapeutics,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86" w:after="283"/>
              <w:jc w:val="left"/>
              <w:rPr/>
            </w:pPr>
            <w:r>
              <w:rPr/>
              <w:t> </w:t>
            </w:r>
          </w:p>
        </w:tc>
        <w:tc>
          <w:tcPr>
            <w:tcW w:w="146" w:type="dxa"/>
            <w:tcBorders/>
            <w:tcMar>
              <w:top w:w="0" w:type="dxa"/>
              <w:left w:w="0" w:type="dxa"/>
              <w:bottom w:w="0" w:type="dxa"/>
              <w:right w:w="0" w:type="dxa"/>
            </w:tcMar>
            <w:vAlign w:val="center"/>
          </w:tcPr>
          <w:p>
            <w:pPr>
              <w:pStyle w:val="TableContents"/>
              <w:bidi w:val="0"/>
              <w:spacing w:before="86" w:after="283"/>
              <w:jc w:val="left"/>
              <w:rPr/>
            </w:pPr>
            <w:r>
              <w:rPr/>
              <w:t> </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746" w:type="dxa"/>
            <w:tcBorders>
              <w:bottom w:val="single" w:sz="2" w:space="0" w:color="000000"/>
            </w:tcBorders>
            <w:tcMar>
              <w:top w:w="0" w:type="dxa"/>
              <w:left w:w="0" w:type="dxa"/>
              <w:right w:w="0" w:type="dxa"/>
            </w:tcMar>
            <w:vAlign w:val="center"/>
          </w:tcPr>
          <w:p>
            <w:pPr>
              <w:pStyle w:val="TableContents"/>
              <w:bidi w:val="0"/>
              <w:spacing w:before="86"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William P. Quinn</w:t>
              <w:br/>
              <w:t>Title: Chief Executive Officer</w:t>
            </w:r>
          </w:p>
        </w:tc>
      </w:tr>
    </w:tbl>
    <w:p>
      <w:pPr>
        <w:pStyle w:val="TextBody"/>
        <w:bidi w:val="0"/>
        <w:jc w:val="left"/>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Securities Purchase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the parties hereto have executed this Agreement as of the day and year first above written.</w:t>
      </w:r>
    </w:p>
    <w:p>
      <w:pPr>
        <w:pStyle w:val="TextBody"/>
        <w:bidi w:val="0"/>
        <w:spacing w:before="0" w:after="240"/>
        <w:jc w:val="left"/>
        <w:rPr>
          <w:rFonts w:ascii="Times New Roman" w:hAnsi="Times New Roman"/>
          <w:sz w:val="20"/>
        </w:rPr>
      </w:pPr>
      <w:r>
        <w:rPr>
          <w:rFonts w:ascii="Times New Roman" w:hAnsi="Times New Roman"/>
          <w:b/>
          <w:color w:val="000000"/>
          <w:sz w:val="22"/>
        </w:rPr>
        <w:t>INVESTOR</w:t>
      </w:r>
      <w:r>
        <w:rPr>
          <w:rFonts w:ascii="Times New Roman" w:hAnsi="Times New Roman"/>
          <w:color w:val="000000"/>
          <w:sz w:val="22"/>
        </w:rPr>
        <w: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[NAME]</w:t>
      </w:r>
    </w:p>
    <w:p>
      <w:pPr>
        <w:pStyle w:val="TextBody"/>
        <w:bidi w:val="0"/>
        <w:spacing w:before="0" w:after="240"/>
        <w:jc w:val="left"/>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p>
    <w:p>
      <w:pPr>
        <w:pStyle w:val="TextBody"/>
        <w:bidi w:val="0"/>
        <w:jc w:val="both"/>
        <w:rPr>
          <w:rFonts w:ascii="Times New Roman" w:hAnsi="Times New Roman"/>
          <w:sz w:val="20"/>
        </w:rPr>
      </w:pPr>
      <w:r>
        <w:rPr>
          <w:rFonts w:ascii="Times New Roman" w:hAnsi="Times New Roman"/>
          <w:color w:val="000000"/>
          <w:sz w:val="22"/>
        </w:rPr>
        <w:t>Name:</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Title:</w:t>
      </w:r>
      <w:r>
        <w:rPr>
          <w:rFonts w:ascii="Times New Roman" w:hAnsi="Times New Roman"/>
          <w:color w:val="000000"/>
          <w:sz w:val="20"/>
          <w:u w:val="single"/>
        </w:rPr>
        <w:t xml:space="preserve">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Beneficial Ownership Limitation: 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Number of Preferred Shares Purchased: 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Number of Warrants Purchased: 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Address:</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Securities Purchase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INVESTORS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CERTIFICATE OF DESIGNATION</w:t>
      </w:r>
    </w:p>
    <w:p>
      <w:pPr>
        <w:pStyle w:val="TextBody"/>
        <w:bidi w:val="0"/>
        <w:spacing w:before="0" w:after="24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See attached</w:t>
      </w:r>
      <w:r>
        <w:rPr>
          <w:rFonts w:ascii="Times New Roman" w:hAnsi="Times New Roman"/>
          <w:color w:val="000000"/>
          <w:sz w:val="22"/>
        </w:rPr>
        <w:t>.]</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REGISTRATION RIGHTS AGREEMENT</w:t>
      </w:r>
    </w:p>
    <w:p>
      <w:pPr>
        <w:pStyle w:val="TextBody"/>
        <w:bidi w:val="0"/>
        <w:spacing w:before="0" w:after="24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See attached</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WARRANT</w:t>
      </w:r>
    </w:p>
    <w:p>
      <w:pPr>
        <w:pStyle w:val="TextBody"/>
        <w:bidi w:val="0"/>
        <w:spacing w:before="0" w:after="24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See attached</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8" w:name="bolt-ex10_2.htm"/>
      <w:bookmarkStart w:id="9" w:name="ksboltex10_2"/>
      <w:bookmarkEnd w:id="8"/>
      <w:bookmarkEnd w:id="9"/>
      <w:r>
        <w:rPr/>
        <w:t> </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REGISTRATION RIGHTS AGREEMENT</w:t>
      </w:r>
    </w:p>
    <w:p>
      <w:pPr>
        <w:pStyle w:val="TextBody"/>
        <w:bidi w:val="0"/>
        <w:spacing w:before="0" w:after="240"/>
        <w:jc w:val="both"/>
        <w:rPr>
          <w:rFonts w:ascii="Times New Roman" w:hAnsi="Times New Roman"/>
          <w:sz w:val="22"/>
        </w:rPr>
      </w:pPr>
      <w:r>
        <w:rPr>
          <w:rFonts w:ascii="Times New Roman" w:hAnsi="Times New Roman"/>
          <w:b/>
          <w:color w:val="000000"/>
          <w:sz w:val="22"/>
        </w:rPr>
        <w:t>THIS REGISTRATION RIGHTS AGREEMENT</w:t>
      </w:r>
      <w:r>
        <w:rPr>
          <w:rFonts w:ascii="Times New Roman" w:hAnsi="Times New Roman"/>
          <w:color w:val="000000"/>
          <w:sz w:val="22"/>
        </w:rPr>
        <w:t xml:space="preserve"> (this “</w:t>
      </w:r>
      <w:r>
        <w:rPr>
          <w:rFonts w:ascii="Times New Roman" w:hAnsi="Times New Roman"/>
          <w:b/>
          <w:color w:val="000000"/>
          <w:sz w:val="22"/>
        </w:rPr>
        <w:t>Agreement</w:t>
      </w:r>
      <w:r>
        <w:rPr>
          <w:rFonts w:ascii="Times New Roman" w:hAnsi="Times New Roman"/>
          <w:color w:val="000000"/>
          <w:sz w:val="22"/>
        </w:rPr>
        <w:t>”), dated as of October 23, 2026, is entered into by and among Bolt Biotherapeutics, Inc., a Delaware corporation (the “</w:t>
      </w:r>
      <w:r>
        <w:rPr>
          <w:rFonts w:ascii="Times New Roman" w:hAnsi="Times New Roman"/>
          <w:b/>
          <w:color w:val="000000"/>
          <w:sz w:val="22"/>
        </w:rPr>
        <w:t>Company</w:t>
      </w:r>
      <w:r>
        <w:rPr>
          <w:rFonts w:ascii="Times New Roman" w:hAnsi="Times New Roman"/>
          <w:color w:val="000000"/>
          <w:sz w:val="22"/>
        </w:rPr>
        <w:t>”), and the several investors signatory hereto (individually as an “</w:t>
      </w:r>
      <w:r>
        <w:rPr>
          <w:rFonts w:ascii="Times New Roman" w:hAnsi="Times New Roman"/>
          <w:b/>
          <w:color w:val="000000"/>
          <w:sz w:val="22"/>
        </w:rPr>
        <w:t>Investor</w:t>
      </w:r>
      <w:r>
        <w:rPr>
          <w:rFonts w:ascii="Times New Roman" w:hAnsi="Times New Roman"/>
          <w:color w:val="000000"/>
          <w:sz w:val="22"/>
        </w:rPr>
        <w:t>” and collectively together with their respective permitted assigns, the “</w:t>
      </w:r>
      <w:r>
        <w:rPr>
          <w:rFonts w:ascii="Times New Roman" w:hAnsi="Times New Roman"/>
          <w:b/>
          <w:color w:val="000000"/>
          <w:sz w:val="22"/>
        </w:rPr>
        <w:t>Investors</w:t>
      </w:r>
      <w:r>
        <w:rPr>
          <w:rFonts w:ascii="Times New Roman" w:hAnsi="Times New Roman"/>
          <w:color w:val="000000"/>
          <w:sz w:val="22"/>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hAnsi="Times New Roman"/>
          <w:b/>
          <w:color w:val="000000"/>
          <w:sz w:val="22"/>
        </w:rPr>
        <w:t>Purchase Agreement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WHEREAS:</w:t>
      </w:r>
    </w:p>
    <w:p>
      <w:pPr>
        <w:pStyle w:val="TextBody"/>
        <w:bidi w:val="0"/>
        <w:spacing w:before="0" w:after="240"/>
        <w:jc w:val="both"/>
        <w:rPr>
          <w:rFonts w:ascii="Times New Roman" w:hAnsi="Times New Roman"/>
          <w:sz w:val="20"/>
        </w:rPr>
      </w:pPr>
      <w:r>
        <w:rPr>
          <w:rFonts w:ascii="Times New Roman" w:hAnsi="Times New Roman"/>
          <w:color w:val="000000"/>
          <w:sz w:val="22"/>
        </w:rPr>
        <w:t>A. The Company is party to that certain Agreement and Plan of Merger by and among the Company, Prana Therapies, Inc., a Delaware corporation (“</w:t>
      </w:r>
      <w:r>
        <w:rPr>
          <w:rFonts w:ascii="Times New Roman" w:hAnsi="Times New Roman"/>
          <w:b/>
          <w:color w:val="000000"/>
          <w:sz w:val="22"/>
        </w:rPr>
        <w:t>Prana</w:t>
      </w:r>
      <w:r>
        <w:rPr>
          <w:rFonts w:ascii="Times New Roman" w:hAnsi="Times New Roman"/>
          <w:color w:val="000000"/>
          <w:sz w:val="20"/>
        </w:rPr>
        <w:t>”</w:t>
      </w:r>
      <w:r>
        <w:rPr>
          <w:rFonts w:ascii="Times New Roman" w:hAnsi="Times New Roman"/>
          <w:color w:val="000000"/>
          <w:sz w:val="22"/>
        </w:rPr>
        <w:t>), Prince Merger Sub I, Inc., a Delaware corporation and wholly owned subsidiary of the Company (“</w:t>
      </w:r>
      <w:r>
        <w:rPr>
          <w:rFonts w:ascii="Times New Roman" w:hAnsi="Times New Roman"/>
          <w:b/>
          <w:color w:val="000000"/>
          <w:sz w:val="22"/>
        </w:rPr>
        <w:t>First Merger Sub</w:t>
      </w:r>
      <w:r>
        <w:rPr>
          <w:rFonts w:ascii="Times New Roman" w:hAnsi="Times New Roman"/>
          <w:color w:val="000000"/>
          <w:sz w:val="20"/>
        </w:rPr>
        <w:t>”</w:t>
      </w:r>
      <w:r>
        <w:rPr>
          <w:rFonts w:ascii="Times New Roman" w:hAnsi="Times New Roman"/>
          <w:color w:val="000000"/>
          <w:sz w:val="22"/>
        </w:rPr>
        <w:t>), Prince Merger Sub II, LLC, a Delaware limited liability company and wholly owned subsidiary of the Company (“</w:t>
      </w:r>
      <w:r>
        <w:rPr>
          <w:rFonts w:ascii="Times New Roman" w:hAnsi="Times New Roman"/>
          <w:b/>
          <w:color w:val="000000"/>
          <w:sz w:val="22"/>
        </w:rPr>
        <w:t>Second Merger Sub</w:t>
      </w:r>
      <w:r>
        <w:rPr>
          <w:rFonts w:ascii="Times New Roman" w:hAnsi="Times New Roman"/>
          <w:color w:val="000000"/>
          <w:sz w:val="20"/>
        </w:rPr>
        <w:t>”</w:t>
      </w:r>
      <w:r>
        <w:rPr>
          <w:rFonts w:ascii="Times New Roman" w:hAnsi="Times New Roman"/>
          <w:color w:val="000000"/>
          <w:sz w:val="22"/>
        </w:rPr>
        <w:t>), dated on or around the date hereof (as amended from time to time, the “</w:t>
      </w:r>
      <w:r>
        <w:rPr>
          <w:rFonts w:ascii="Times New Roman" w:hAnsi="Times New Roman"/>
          <w:b/>
          <w:color w:val="000000"/>
          <w:sz w:val="22"/>
        </w:rPr>
        <w:t>Merger Agreement</w:t>
      </w:r>
      <w:r>
        <w:rPr>
          <w:rFonts w:ascii="Times New Roman" w:hAnsi="Times New Roman"/>
          <w:color w:val="000000"/>
          <w:sz w:val="20"/>
        </w:rPr>
        <w:t>”</w:t>
      </w:r>
      <w:r>
        <w:rPr>
          <w:rFonts w:ascii="Times New Roman" w:hAnsi="Times New Roman"/>
          <w:color w:val="000000"/>
          <w:sz w:val="22"/>
        </w:rPr>
        <w:t>), pursuant to which, upon the terms and subject to the conditions set forth therein, (i) First Merger Sub will merge with and into Prana, with Prana surviving and becoming a wholly owned subsidiary of the Company (the “</w:t>
      </w:r>
      <w:r>
        <w:rPr>
          <w:rFonts w:ascii="Times New Roman" w:hAnsi="Times New Roman"/>
          <w:b/>
          <w:color w:val="000000"/>
          <w:sz w:val="22"/>
        </w:rPr>
        <w:t>First Merger</w:t>
      </w:r>
      <w:r>
        <w:rPr>
          <w:rFonts w:ascii="Times New Roman" w:hAnsi="Times New Roman"/>
          <w:color w:val="000000"/>
          <w:sz w:val="20"/>
        </w:rPr>
        <w:t>”</w:t>
      </w:r>
      <w:r>
        <w:rPr>
          <w:rFonts w:ascii="Times New Roman" w:hAnsi="Times New Roman"/>
          <w:color w:val="000000"/>
          <w:sz w:val="22"/>
        </w:rPr>
        <w:t>), and (ii) Prana will thereafter merge with and into Second Merger Sub, with Second Merger Sub surviving and remaining a wholly owned subsidiary of the Company (the “</w:t>
      </w:r>
      <w:r>
        <w:rPr>
          <w:rFonts w:ascii="Times New Roman" w:hAnsi="Times New Roman"/>
          <w:b/>
          <w:color w:val="000000"/>
          <w:sz w:val="22"/>
        </w:rPr>
        <w:t>Second Merger</w:t>
      </w:r>
      <w:r>
        <w:rPr>
          <w:rFonts w:ascii="Times New Roman" w:hAnsi="Times New Roman"/>
          <w:color w:val="000000"/>
          <w:sz w:val="20"/>
        </w:rPr>
        <w:t xml:space="preserve">” </w:t>
      </w:r>
      <w:r>
        <w:rPr>
          <w:rFonts w:ascii="Times New Roman" w:hAnsi="Times New Roman"/>
          <w:color w:val="000000"/>
          <w:sz w:val="22"/>
        </w:rPr>
        <w:t>and, together with the First Merger, the “</w:t>
      </w:r>
      <w:r>
        <w:rPr>
          <w:rFonts w:ascii="Times New Roman" w:hAnsi="Times New Roman"/>
          <w:b/>
          <w:color w:val="000000"/>
          <w:sz w:val="22"/>
        </w:rPr>
        <w:t>Merger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B. Upon the terms and subject to the conditions of the Purchase Agreement, the Company has agreed to issue to the Investors, and the Investors have agreed to purchase, severally and not jointly, an aggregate of up to 13,995.311 shares of Series D Non-Voting Convertible Preferred Stock, par value $0.00001 per share (and including any other class of securities into which the Series D Non-Voting Convertible Preferred Stock may hereafter be reclassified or changed into, the “</w:t>
      </w:r>
      <w:r>
        <w:rPr>
          <w:rFonts w:ascii="Times New Roman" w:hAnsi="Times New Roman"/>
          <w:b/>
          <w:color w:val="000000"/>
          <w:sz w:val="22"/>
        </w:rPr>
        <w:t>Preferred Stock</w:t>
      </w:r>
      <w:r>
        <w:rPr>
          <w:rFonts w:ascii="Times New Roman" w:hAnsi="Times New Roman"/>
          <w:color w:val="000000"/>
          <w:sz w:val="22"/>
        </w:rPr>
        <w:t>”) and warrants to purchase Preferred Stock (the “</w:t>
      </w:r>
      <w:r>
        <w:rPr>
          <w:rFonts w:ascii="Times New Roman" w:hAnsi="Times New Roman"/>
          <w:b/>
          <w:color w:val="000000"/>
          <w:sz w:val="22"/>
        </w:rPr>
        <w:t>Warrants</w:t>
      </w:r>
      <w:r>
        <w:rPr>
          <w:rFonts w:ascii="Times New Roman" w:hAnsi="Times New Roman"/>
          <w:color w:val="000000"/>
          <w:sz w:val="22"/>
        </w:rPr>
        <w:t>”), of the Company, in each case, pursuant to the Purchase Agreement. The shares of Common Stock issuable upon conversion of the Preferred Stock are collectively referred to herein as the “</w:t>
      </w:r>
      <w:r>
        <w:rPr>
          <w:rFonts w:ascii="Times New Roman" w:hAnsi="Times New Roman"/>
          <w:b/>
          <w:color w:val="000000"/>
          <w:sz w:val="22"/>
        </w:rPr>
        <w:t>Shares</w:t>
      </w:r>
      <w:r>
        <w:rPr>
          <w:rFonts w:ascii="Times New Roman" w:hAnsi="Times New Roman"/>
          <w:color w:val="000000"/>
          <w:sz w:val="22"/>
        </w:rPr>
        <w:t>,” and the shares of Common Stock issuable upon conversion of the Preferred Stock upon exercise of the Warrants are collectively referred to herein as “</w:t>
      </w:r>
      <w:r>
        <w:rPr>
          <w:rFonts w:ascii="Times New Roman" w:hAnsi="Times New Roman"/>
          <w:b/>
          <w:color w:val="000000"/>
          <w:sz w:val="22"/>
        </w:rPr>
        <w:t>Warrant Shares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and applicable state securities laws.</w:t>
      </w:r>
    </w:p>
    <w:p>
      <w:pPr>
        <w:pStyle w:val="TextBody"/>
        <w:bidi w:val="0"/>
        <w:spacing w:before="0" w:after="240"/>
        <w:jc w:val="both"/>
        <w:rPr>
          <w:rFonts w:ascii="Times New Roman" w:hAnsi="Times New Roman"/>
          <w:sz w:val="22"/>
        </w:rPr>
      </w:pPr>
      <w:r>
        <w:rPr>
          <w:rFonts w:ascii="Times New Roman" w:hAnsi="Times New Roman"/>
          <w:b/>
          <w:color w:val="000000"/>
          <w:sz w:val="22"/>
        </w:rPr>
        <w:t>NOW, THEREFORE,</w:t>
      </w:r>
      <w:r>
        <w:rPr>
          <w:rFonts w:ascii="Times New Roman" w:hAnsi="Times New Roman"/>
          <w:color w:val="000000"/>
          <w:sz w:val="22"/>
        </w:rPr>
        <w:t xml:space="preserve"> in consideration of the promises and the mutual covenants contained herein and other good and valuable consideration, the receipt and sufficiency of which are hereby acknowledged, the Company and the Investors hereby agree as follows:</w:t>
      </w:r>
    </w:p>
    <w:p>
      <w:pPr>
        <w:pStyle w:val="TextBody"/>
        <w:bidi w:val="0"/>
        <w:spacing w:before="0" w:after="240"/>
        <w:jc w:val="both"/>
        <w:rPr>
          <w:rFonts w:ascii="Times New Roman" w:hAnsi="Times New Roman"/>
          <w:sz w:val="20"/>
        </w:rPr>
      </w:pPr>
      <w:r>
        <w:rPr>
          <w:rFonts w:ascii="Times New Roman" w:hAnsi="Times New Roman"/>
          <w:caps/>
          <w:color w:val="000000"/>
          <w:sz w:val="24"/>
        </w:rPr>
        <w:t>1.</w:t>
      </w:r>
      <w:r>
        <w:rPr>
          <w:rFonts w:ascii="Times New Roman" w:hAnsi="Times New Roman"/>
          <w:caps/>
          <w:color w:val="000000"/>
          <w:sz w:val="20"/>
        </w:rPr>
        <w:t xml:space="preserve"> </w:t>
      </w:r>
      <w:r>
        <w:rPr>
          <w:rFonts w:ascii="Times New Roman" w:hAnsi="Times New Roman"/>
          <w:caps/>
          <w:color w:val="000000"/>
          <w:sz w:val="22"/>
        </w:rPr>
        <w:t>definitions.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this Agreement, the following terms shall have the following meanings:</w:t>
      </w:r>
    </w:p>
    <w:p>
      <w:pPr>
        <w:pStyle w:val="TextBody"/>
        <w:bidi w:val="0"/>
        <w:spacing w:lineRule="auto" w:line="360" w:before="0" w:after="240"/>
        <w:jc w:val="both"/>
        <w:rPr>
          <w:rFonts w:ascii="Times New Roman" w:hAnsi="Times New Roman"/>
          <w:sz w:val="15"/>
        </w:rPr>
      </w:pPr>
      <w:r>
        <w:rPr>
          <w:rFonts w:ascii="Times New Roman" w:hAnsi="Times New Roman"/>
          <w:color w:val="000000"/>
          <w:sz w:val="24"/>
        </w:rPr>
        <w:t>(a)</w:t>
      </w:r>
      <w:r>
        <w:rPr>
          <w:rFonts w:ascii="Times New Roman" w:hAnsi="Times New Roman"/>
          <w:color w:val="000000"/>
          <w:sz w:val="15"/>
        </w:rPr>
        <w:t xml:space="preserve"> “</w:t>
      </w:r>
      <w:r>
        <w:rPr>
          <w:rFonts w:ascii="Times New Roman" w:hAnsi="Times New Roman"/>
          <w:b/>
          <w:color w:val="000000"/>
          <w:sz w:val="22"/>
        </w:rPr>
        <w:t>Filing Deadline</w:t>
      </w:r>
      <w:r>
        <w:rPr>
          <w:rFonts w:ascii="Times New Roman" w:hAnsi="Times New Roman"/>
          <w:color w:val="000000"/>
          <w:sz w:val="15"/>
        </w:rPr>
        <w:t xml:space="preserve">” </w:t>
      </w:r>
      <w:r>
        <w:rPr>
          <w:rFonts w:ascii="Times New Roman" w:hAnsi="Times New Roman"/>
          <w:color w:val="000000"/>
          <w:sz w:val="22"/>
        </w:rPr>
        <w:t>means, with respect to the Initial Registration Statement required hereunder, the seventy-fifth (75</w:t>
      </w:r>
      <w:r>
        <w:rPr>
          <w:rFonts w:ascii="Times New Roman" w:hAnsi="Times New Roman"/>
          <w:color w:val="000000"/>
          <w:sz w:val="15"/>
        </w:rPr>
        <w:t>th</w:t>
      </w:r>
      <w:r>
        <w:rPr>
          <w:rFonts w:ascii="Times New Roman" w:hAnsi="Times New Roman"/>
          <w:color w:val="000000"/>
          <w:sz w:val="22"/>
        </w:rPr>
        <w:t>) calendar day following the Closing Date (as defined in the Purchase Agreement) and, with respect to any New Registration Statement or other Registration Statement filed hereunder, the thirtieth (30</w:t>
      </w:r>
      <w:r>
        <w:rPr>
          <w:rFonts w:ascii="Times New Roman" w:hAnsi="Times New Roman"/>
          <w:color w:val="000000"/>
          <w:sz w:val="15"/>
        </w:rPr>
        <w:t>th</w:t>
      </w:r>
      <w:r>
        <w:rPr>
          <w:rFonts w:ascii="Times New Roman" w:hAnsi="Times New Roman"/>
          <w:color w:val="000000"/>
          <w:sz w:val="22"/>
        </w:rPr>
        <w:t>) calendar day following the later of (i) the date on which the Company is</w:t>
      </w:r>
      <w:r>
        <w:rPr>
          <w:rFonts w:ascii="Times New Roman" w:hAnsi="Times New Roman"/>
          <w:color w:val="000000"/>
          <w:sz w:val="15"/>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permitted by SEC Guidance to file such New Registration Statement related to the Registrable Securities and (ii) the date on which the Company becomes aware (or reasonably should have become aware) of the necessity of filing such New Registration Statement related to the Registrable Securities. For the purposes of this definition, the ‘necessity’ to file a New Registration Statement shall be deemed to arise at the time the Company determines (or reasonably should determine) that the number of shares then registered is insufficient to cover all Registrable Securities required to be covered hereunder.</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b/>
          <w:color w:val="000000"/>
          <w:sz w:val="22"/>
        </w:rPr>
        <w:t>Governmental Body</w:t>
      </w:r>
      <w:r>
        <w:rPr>
          <w:rFonts w:ascii="Times New Roman" w:hAnsi="Times New Roman"/>
          <w:color w:val="000000"/>
          <w:sz w:val="20"/>
        </w:rPr>
        <w:t xml:space="preserve">” </w:t>
      </w:r>
      <w:r>
        <w:rPr>
          <w:rFonts w:ascii="Times New Roman" w:hAnsi="Times New Roman"/>
          <w:color w:val="000000"/>
          <w:sz w:val="22"/>
        </w:rPr>
        <w:t>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b/>
          <w:color w:val="000000"/>
          <w:sz w:val="22"/>
        </w:rPr>
        <w:t>Nasdaq</w:t>
      </w:r>
      <w:r>
        <w:rPr>
          <w:rFonts w:ascii="Times New Roman" w:hAnsi="Times New Roman"/>
          <w:color w:val="000000"/>
          <w:sz w:val="20"/>
        </w:rPr>
        <w:t xml:space="preserve">” </w:t>
      </w:r>
      <w:r>
        <w:rPr>
          <w:rFonts w:ascii="Times New Roman" w:hAnsi="Times New Roman"/>
          <w:color w:val="000000"/>
          <w:sz w:val="22"/>
        </w:rPr>
        <w:t>means The Nasdaq Stock Market LLC.</w:t>
      </w:r>
    </w:p>
    <w:p>
      <w:pPr>
        <w:pStyle w:val="TextBody"/>
        <w:bidi w:val="0"/>
        <w:spacing w:before="0" w:after="240"/>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means any individual,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or Governmental Body.</w:t>
      </w:r>
    </w:p>
    <w:p>
      <w:pPr>
        <w:pStyle w:val="TextBody"/>
        <w:bidi w:val="0"/>
        <w:spacing w:before="0" w:after="240"/>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b/>
          <w:color w:val="000000"/>
          <w:sz w:val="22"/>
        </w:rPr>
        <w:t>Prospectus</w:t>
      </w:r>
      <w:r>
        <w:rPr>
          <w:rFonts w:ascii="Times New Roman" w:hAnsi="Times New Roman"/>
          <w:color w:val="000000"/>
          <w:sz w:val="20"/>
        </w:rPr>
        <w:t xml:space="preserve">” </w:t>
      </w:r>
      <w:r>
        <w:rPr>
          <w:rFonts w:ascii="Times New Roman" w:hAnsi="Times New Roman"/>
          <w:color w:val="000000"/>
          <w:sz w:val="22"/>
        </w:rPr>
        <w:t>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such prospectus, including post-effective amendments and all material incorporated by reference in such prospectus, and (ii) any “free writing prospectus” as defined in Rule 405 under the Securities Act, relating to the terms of the offering of any portion of the Registrable Securities.</w:t>
      </w:r>
    </w:p>
    <w:p>
      <w:pPr>
        <w:pStyle w:val="TextBody"/>
        <w:bidi w:val="0"/>
        <w:spacing w:before="0" w:after="240"/>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b/>
          <w:color w:val="000000"/>
          <w:sz w:val="22"/>
        </w:rPr>
        <w:t>Register</w:t>
      </w:r>
      <w:r>
        <w:rPr>
          <w:rFonts w:ascii="Times New Roman" w:hAnsi="Times New Roman"/>
          <w:color w:val="000000"/>
          <w:sz w:val="22"/>
        </w:rPr>
        <w:t>,” “</w:t>
      </w:r>
      <w:r>
        <w:rPr>
          <w:rFonts w:ascii="Times New Roman" w:hAnsi="Times New Roman"/>
          <w:b/>
          <w:color w:val="000000"/>
          <w:sz w:val="22"/>
        </w:rPr>
        <w:t>Registered</w:t>
      </w:r>
      <w:r>
        <w:rPr>
          <w:rFonts w:ascii="Times New Roman" w:hAnsi="Times New Roman"/>
          <w:color w:val="000000"/>
          <w:sz w:val="22"/>
        </w:rPr>
        <w:t>,” and “</w:t>
      </w:r>
      <w:r>
        <w:rPr>
          <w:rFonts w:ascii="Times New Roman" w:hAnsi="Times New Roman"/>
          <w:b/>
          <w:color w:val="000000"/>
          <w:sz w:val="22"/>
        </w:rPr>
        <w:t>Registration</w:t>
      </w:r>
      <w:r>
        <w:rPr>
          <w:rFonts w:ascii="Times New Roman" w:hAnsi="Times New Roman"/>
          <w:color w:val="000000"/>
          <w:sz w:val="20"/>
        </w:rPr>
        <w:t xml:space="preserve">” </w:t>
      </w:r>
      <w:r>
        <w:rPr>
          <w:rFonts w:ascii="Times New Roman" w:hAnsi="Times New Roman"/>
          <w:color w:val="000000"/>
          <w:sz w:val="22"/>
        </w:rPr>
        <w:t>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color w:val="000000"/>
          <w:sz w:val="22"/>
        </w:rPr>
        <w:t>SEC</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b/>
          <w:color w:val="000000"/>
          <w:sz w:val="22"/>
        </w:rPr>
        <w:t>Registrable Securities</w:t>
      </w:r>
      <w:r>
        <w:rPr>
          <w:rFonts w:ascii="Times New Roman" w:hAnsi="Times New Roman"/>
          <w:color w:val="000000"/>
          <w:sz w:val="20"/>
        </w:rPr>
        <w:t xml:space="preserve">” </w:t>
      </w:r>
      <w:r>
        <w:rPr>
          <w:rFonts w:ascii="Times New Roman" w:hAnsi="Times New Roman"/>
          <w:color w:val="000000"/>
          <w:sz w:val="22"/>
        </w:rPr>
        <w:t>means (i) the Shares, (ii) all Warrant Shares then issued and issuable upon exercise of the Warrants (assuming on such date the Warrants are exercised in full for cash without regard to any exercise limitations therein (if applicable)) and (iii) any shares of Common Stock issued or issuable with respect to the Shares as a result of any stock split or subdivision, stock dividend, recapitalization, exchange or similar event. Notwithstanding the foregoing, with respect to each Investor, Registrable Securities beneficially owned by such Investor shall cease to be Registrable Securities upon the earlier to occur of: (A) the sale of such Registrable Securities pursuant to a Registration Statement or Rule 144 under the Securities Act (in which case, only the Registrable Securities sold by the Investors shall cease to be a Registrable Security); and (B) the date such Registrable Securities become eligible for resale by such Investor under Rule 144 without the requirement for the Company to be in compliance with the current public information requirement thereunder and without volume or manner-of-sale restrictions thereunder (each of subsections (A) and (B), a “</w:t>
      </w:r>
      <w:r>
        <w:rPr>
          <w:rFonts w:ascii="Times New Roman" w:hAnsi="Times New Roman"/>
          <w:b/>
          <w:color w:val="000000"/>
          <w:sz w:val="22"/>
        </w:rPr>
        <w:t>Termination Event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b/>
          <w:color w:val="000000"/>
          <w:sz w:val="22"/>
        </w:rPr>
        <w:t>Registration Expenses</w:t>
      </w:r>
      <w:r>
        <w:rPr>
          <w:rFonts w:ascii="Times New Roman" w:hAnsi="Times New Roman"/>
          <w:color w:val="000000"/>
          <w:sz w:val="20"/>
        </w:rPr>
        <w:t xml:space="preserve">” </w:t>
      </w:r>
      <w:r>
        <w:rPr>
          <w:rFonts w:ascii="Times New Roman" w:hAnsi="Times New Roman"/>
          <w:color w:val="000000"/>
          <w:sz w:val="22"/>
        </w:rPr>
        <w:t>means all registration and filing fee expenses incurred by the Company in effecting any registration pursuant to this Agreement, including (i) all registration,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qualification, and filing fees, printing expenses, and any other fees and expenses associated with filings required to be made by the Company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or this Agreement, any legal fees or other costs of the Investors.</w:t>
      </w:r>
    </w:p>
    <w:p>
      <w:pPr>
        <w:pStyle w:val="TextBody"/>
        <w:bidi w:val="0"/>
        <w:spacing w:before="0" w:after="24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b/>
          <w:color w:val="000000"/>
          <w:sz w:val="22"/>
        </w:rPr>
        <w:t>Registration Statement</w:t>
      </w:r>
      <w:r>
        <w:rPr>
          <w:rFonts w:ascii="Times New Roman" w:hAnsi="Times New Roman"/>
          <w:color w:val="000000"/>
          <w:sz w:val="20"/>
        </w:rPr>
        <w:t xml:space="preserve">” </w:t>
      </w:r>
      <w:r>
        <w:rPr>
          <w:rFonts w:ascii="Times New Roman" w:hAnsi="Times New Roman"/>
          <w:color w:val="000000"/>
          <w:sz w:val="22"/>
        </w:rPr>
        <w:t>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material incorporated by reference in such registration statement.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pStyle w:val="TextBody"/>
        <w:bidi w:val="0"/>
        <w:spacing w:before="0" w:after="240"/>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b/>
          <w:color w:val="000000"/>
          <w:sz w:val="22"/>
        </w:rPr>
        <w:t>Required Investors</w:t>
      </w:r>
      <w:r>
        <w:rPr>
          <w:rFonts w:ascii="Times New Roman" w:hAnsi="Times New Roman"/>
          <w:color w:val="000000"/>
          <w:sz w:val="20"/>
        </w:rPr>
        <w:t xml:space="preserve">” </w:t>
      </w:r>
      <w:r>
        <w:rPr>
          <w:rFonts w:ascii="Times New Roman" w:hAnsi="Times New Roman"/>
          <w:color w:val="000000"/>
          <w:sz w:val="22"/>
        </w:rPr>
        <w:t>means the Investors holding a majority of the Registrable Securities outstanding from time to time (determined as if all of the outstanding shares of Preferred Stock have been converted into shares of Common Stock, without regard to any limitation on such conversion, including any requirement to obtain stockholder approval of such conversion or any beneficial ownership limitations).</w:t>
      </w:r>
    </w:p>
    <w:p>
      <w:pPr>
        <w:pStyle w:val="TextBody"/>
        <w:bidi w:val="0"/>
        <w:spacing w:before="0" w:after="240"/>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b/>
          <w:color w:val="000000"/>
          <w:sz w:val="22"/>
        </w:rPr>
        <w:t>SEC Guidance</w:t>
      </w:r>
      <w:r>
        <w:rPr>
          <w:rFonts w:ascii="Times New Roman" w:hAnsi="Times New Roman"/>
          <w:color w:val="000000"/>
          <w:sz w:val="20"/>
        </w:rPr>
        <w:t xml:space="preserve">” </w:t>
      </w:r>
      <w:r>
        <w:rPr>
          <w:rFonts w:ascii="Times New Roman" w:hAnsi="Times New Roman"/>
          <w:color w:val="000000"/>
          <w:sz w:val="22"/>
        </w:rPr>
        <w:t>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pStyle w:val="TextBody"/>
        <w:bidi w:val="0"/>
        <w:spacing w:before="0" w:after="240"/>
        <w:jc w:val="both"/>
        <w:rPr>
          <w:rFonts w:ascii="Times New Roman" w:hAnsi="Times New Roman"/>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b/>
          <w:color w:val="000000"/>
          <w:sz w:val="22"/>
        </w:rPr>
        <w:t>Selling Expenses</w:t>
      </w:r>
      <w:r>
        <w:rPr>
          <w:rFonts w:ascii="Times New Roman" w:hAnsi="Times New Roman"/>
          <w:color w:val="000000"/>
          <w:sz w:val="20"/>
        </w:rPr>
        <w:t xml:space="preserve">” </w:t>
      </w:r>
      <w:r>
        <w:rPr>
          <w:rFonts w:ascii="Times New Roman" w:hAnsi="Times New Roman"/>
          <w:color w:val="000000"/>
          <w:sz w:val="22"/>
        </w:rPr>
        <w:t>means all underwriting discounts and selling commissions applicable to the sale of Registrable Securities and all similar fees and commissions relating to the Investors’ disposition of the Registrable Securities.</w:t>
      </w:r>
    </w:p>
    <w:p>
      <w:pPr>
        <w:pStyle w:val="TextBody"/>
        <w:bidi w:val="0"/>
        <w:spacing w:before="0" w:after="240"/>
        <w:jc w:val="both"/>
        <w:rPr>
          <w:rFonts w:ascii="Times New Roman" w:hAnsi="Times New Roman"/>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b/>
          <w:color w:val="000000"/>
          <w:sz w:val="22"/>
        </w:rPr>
        <w:t>Stockholder Approval</w:t>
      </w:r>
      <w:r>
        <w:rPr>
          <w:rFonts w:ascii="Times New Roman" w:hAnsi="Times New Roman"/>
          <w:color w:val="000000"/>
          <w:sz w:val="20"/>
        </w:rPr>
        <w:t xml:space="preserve">” </w:t>
      </w:r>
      <w:r>
        <w:rPr>
          <w:rFonts w:ascii="Times New Roman" w:hAnsi="Times New Roman"/>
          <w:color w:val="000000"/>
          <w:sz w:val="22"/>
        </w:rPr>
        <w:t>means the Requisite Stockholder Approval (as defined in the Purchase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4"/>
        </w:rPr>
        <w:t>(o)</w:t>
      </w:r>
      <w:r>
        <w:rPr>
          <w:rFonts w:ascii="Times New Roman" w:hAnsi="Times New Roman"/>
          <w:color w:val="000000"/>
          <w:sz w:val="20"/>
        </w:rPr>
        <w:t xml:space="preserve"> </w:t>
      </w:r>
      <w:r>
        <w:rPr>
          <w:rFonts w:ascii="Times New Roman" w:hAnsi="Times New Roman"/>
          <w:color w:val="000000"/>
          <w:sz w:val="22"/>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(p)</w:t>
      </w:r>
      <w:r>
        <w:rPr>
          <w:rFonts w:ascii="Times New Roman" w:hAnsi="Times New Roman"/>
          <w:color w:val="000000"/>
          <w:sz w:val="20"/>
        </w:rPr>
        <w:t xml:space="preserve"> “</w:t>
      </w:r>
      <w:r>
        <w:rPr>
          <w:rFonts w:ascii="Times New Roman" w:hAnsi="Times New Roman"/>
          <w:b/>
          <w:color w:val="000000"/>
          <w:sz w:val="22"/>
        </w:rPr>
        <w:t>Trading Market</w:t>
      </w:r>
      <w:r>
        <w:rPr>
          <w:rFonts w:ascii="Times New Roman" w:hAnsi="Times New Roman"/>
          <w:color w:val="000000"/>
          <w:sz w:val="20"/>
        </w:rPr>
        <w:t xml:space="preserve">” </w:t>
      </w:r>
      <w:r>
        <w:rPr>
          <w:rFonts w:ascii="Times New Roman" w:hAnsi="Times New Roman"/>
          <w:color w:val="000000"/>
          <w:sz w:val="22"/>
        </w:rPr>
        <w:t>means whichever of the New York Stock Exchange, the NYSE American, The Nasdaq Global Select Market, The Nasdaq Global Market, The Nasdaq Capital Market or market of OTC Markets Group on which the Common Stock is listed or quoted for trading on the date in question.</w:t>
      </w:r>
    </w:p>
    <w:p>
      <w:pPr>
        <w:pStyle w:val="TextBody"/>
        <w:bidi w:val="0"/>
        <w:spacing w:before="0" w:after="240"/>
        <w:jc w:val="both"/>
        <w:rPr>
          <w:rFonts w:ascii="Times New Roman" w:hAnsi="Times New Roman"/>
          <w:sz w:val="20"/>
        </w:rPr>
      </w:pPr>
      <w:r>
        <w:rPr>
          <w:rFonts w:ascii="Times New Roman" w:hAnsi="Times New Roman"/>
          <w:caps/>
          <w:color w:val="000000"/>
          <w:sz w:val="24"/>
        </w:rPr>
        <w:t>2.</w:t>
      </w:r>
      <w:r>
        <w:rPr>
          <w:rFonts w:ascii="Times New Roman" w:hAnsi="Times New Roman"/>
          <w:caps/>
          <w:color w:val="000000"/>
          <w:sz w:val="20"/>
        </w:rPr>
        <w:t xml:space="preserve"> </w:t>
      </w:r>
      <w:r>
        <w:rPr>
          <w:rFonts w:ascii="Times New Roman" w:hAnsi="Times New Roman"/>
          <w:caps/>
          <w:color w:val="000000"/>
          <w:sz w:val="22"/>
        </w:rPr>
        <w:t>registration.</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2"/>
          <w:u w:val="single"/>
        </w:rPr>
        <w:t>Mandatory Registration</w:t>
      </w:r>
      <w:r>
        <w:rPr>
          <w:rFonts w:ascii="Times New Roman" w:hAnsi="Times New Roman"/>
          <w:color w:val="000000"/>
          <w:sz w:val="22"/>
        </w:rPr>
        <w:t>. The Company shall, as promptly as reasonably practicable and in any event no later than the Filing Deadline, prepare and file with the SEC an initial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Registration Statement (the “</w:t>
      </w:r>
      <w:r>
        <w:rPr>
          <w:rFonts w:ascii="Times New Roman" w:hAnsi="Times New Roman"/>
          <w:b/>
          <w:color w:val="000000"/>
          <w:sz w:val="22"/>
        </w:rPr>
        <w:t>Initial Registration Statement</w:t>
      </w:r>
      <w:r>
        <w:rPr>
          <w:rFonts w:ascii="Times New Roman" w:hAnsi="Times New Roman"/>
          <w:color w:val="000000"/>
          <w:sz w:val="22"/>
        </w:rPr>
        <w:t>”) covering the resale of all Registrable Securities. Each Registration Statement shall be on Form S-3 if the Company is then eligible to use that form for the resale of the Registrable Securities, or otherwise on Form S-1. If Form S-3 is not initially available, the Company shall use reasonable best efforts to register the resale of the remaining Registrable Securities on Form S-3 promptly after it becomes available, without a lapse in the effectiveness or availability of the then-effective Registration Statement as a result of such change of form. Before filing the Registration Statement, the Company shall furnish to the Investors a copy of the Registration Statement. The Investors and their counsel shall have at least three (3)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use commercially reasonable efforts to address in each such document prior to being so filed with the SEC such reasonable comments as the Investors or their counsel provide to the Company, and (b) not file any Registration Statement or Prospectus or any amendment or supplement thereto containing information regarding any Investor to which such Investor reasonably objects, unless (in the good faith opinion of the Company’s outside legal counsel) such information is required to comply with any applicable law or regulation or SEC Guidance. The Investors shall furnish all information reasonably requested by the Company and as shall be reasonably required in connection with any registration referred to in this Agreement.</w:t>
      </w:r>
    </w:p>
    <w:p>
      <w:pPr>
        <w:pStyle w:val="TextBody"/>
        <w:bidi w:val="0"/>
        <w:spacing w:lineRule="auto" w:line="360" w:before="0" w:after="240"/>
        <w:jc w:val="both"/>
        <w:rPr>
          <w:rFonts w:ascii="Times New Roman" w:hAnsi="Times New Roman"/>
          <w:sz w:val="15"/>
        </w:rPr>
      </w:pPr>
      <w:r>
        <w:rPr>
          <w:rFonts w:ascii="Times New Roman" w:hAnsi="Times New Roman"/>
          <w:color w:val="000000"/>
          <w:sz w:val="24"/>
        </w:rPr>
        <w:t>(b)</w:t>
      </w:r>
      <w:r>
        <w:rPr>
          <w:rFonts w:ascii="Times New Roman" w:hAnsi="Times New Roman"/>
          <w:color w:val="000000"/>
          <w:sz w:val="15"/>
        </w:rPr>
        <w:t xml:space="preserve"> </w:t>
      </w:r>
      <w:r>
        <w:rPr>
          <w:rFonts w:ascii="Times New Roman" w:hAnsi="Times New Roman"/>
          <w:color w:val="000000"/>
          <w:sz w:val="22"/>
          <w:u w:val="single"/>
        </w:rPr>
        <w:t>Effectiveness</w:t>
      </w:r>
      <w:r>
        <w:rPr>
          <w:rFonts w:ascii="Times New Roman" w:hAnsi="Times New Roman"/>
          <w:color w:val="000000"/>
          <w:sz w:val="22"/>
        </w:rPr>
        <w:t>. The Company shall use its reasonable best efforts to have the Initial Registration Statement and any amendment thereto declared effective by the SEC at the earliest possible date but no later than the earlier of (i) the sixtieth (60</w:t>
      </w:r>
      <w:r>
        <w:rPr>
          <w:rFonts w:ascii="Times New Roman" w:hAnsi="Times New Roman"/>
          <w:color w:val="000000"/>
          <w:sz w:val="15"/>
        </w:rPr>
        <w:t>th</w:t>
      </w:r>
      <w:r>
        <w:rPr>
          <w:rFonts w:ascii="Times New Roman" w:hAnsi="Times New Roman"/>
          <w:color w:val="000000"/>
          <w:sz w:val="22"/>
        </w:rPr>
        <w:t>) calendar day following the Filing Deadline, if the SEC notifies the Company that it will “review” the Initial Registration Statement, and (ii) the fifth (5</w:t>
      </w:r>
      <w:r>
        <w:rPr>
          <w:rFonts w:ascii="Times New Roman" w:hAnsi="Times New Roman"/>
          <w:color w:val="000000"/>
          <w:sz w:val="15"/>
        </w:rPr>
        <w:t>th</w:t>
      </w:r>
      <w:r>
        <w:rPr>
          <w:rFonts w:ascii="Times New Roman" w:hAnsi="Times New Roman"/>
          <w:color w:val="000000"/>
          <w:sz w:val="22"/>
        </w:rPr>
        <w:t>) Business Day after the date the Company is notified (orally or in writing, whichever is earlier) by the SEC that the Initial Registration Statement will not be “reviewed” or will not be subject to further review (such earlier date, the “</w:t>
      </w:r>
      <w:r>
        <w:rPr>
          <w:rFonts w:ascii="Times New Roman" w:hAnsi="Times New Roman"/>
          <w:b/>
          <w:color w:val="000000"/>
          <w:sz w:val="22"/>
        </w:rPr>
        <w:t>Effectiveness Deadline</w:t>
      </w:r>
      <w:r>
        <w:rPr>
          <w:rFonts w:ascii="Times New Roman" w:hAnsi="Times New Roman"/>
          <w:color w:val="000000"/>
          <w:sz w:val="15"/>
        </w:rPr>
        <w:t>”</w:t>
      </w:r>
      <w:r>
        <w:rPr>
          <w:rFonts w:ascii="Times New Roman" w:hAnsi="Times New Roman"/>
          <w:color w:val="000000"/>
          <w:sz w:val="22"/>
        </w:rPr>
        <w:t>). Notwithstanding the foregoing, the Effectiveness Deadline set forth in the foregoing subsection (i) shall be extended through the later of (A) the fifth (5</w:t>
      </w:r>
      <w:r>
        <w:rPr>
          <w:rFonts w:ascii="Times New Roman" w:hAnsi="Times New Roman"/>
          <w:color w:val="000000"/>
          <w:sz w:val="15"/>
        </w:rPr>
        <w:t>th</w:t>
      </w:r>
      <w:r>
        <w:rPr>
          <w:rFonts w:ascii="Times New Roman" w:hAnsi="Times New Roman"/>
          <w:color w:val="000000"/>
          <w:sz w:val="22"/>
        </w:rPr>
        <w:t>) Business Day after the receipt of approval of the Initial Parent Stockholder Matters (as defined in the Merger Agreement) and (B) the fifth (5</w:t>
      </w:r>
      <w:r>
        <w:rPr>
          <w:rFonts w:ascii="Times New Roman" w:hAnsi="Times New Roman"/>
          <w:color w:val="000000"/>
          <w:sz w:val="15"/>
        </w:rPr>
        <w:t>th</w:t>
      </w:r>
      <w:r>
        <w:rPr>
          <w:rFonts w:ascii="Times New Roman" w:hAnsi="Times New Roman"/>
          <w:color w:val="000000"/>
          <w:sz w:val="22"/>
        </w:rPr>
        <w:t>) Business Day after the Nasdaq Reverse Split (as defined in the Merger Agreement) is effective, if the SEC notifies the Company that the Registration Statement will not be declared effective absent such approval or effectiveness. The Company shall notify the Investors by e-mail as promptly as reasonably practicable, and in any event, within twenty-four (24) hours, after the Initial Registration Statement is declared effective or is supplemented and shall provide the Investors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occurrence of a Termination Event (the “</w:t>
      </w:r>
      <w:r>
        <w:rPr>
          <w:rFonts w:ascii="Times New Roman" w:hAnsi="Times New Roman"/>
          <w:b/>
          <w:color w:val="000000"/>
          <w:sz w:val="22"/>
        </w:rPr>
        <w:t>Registration Period</w:t>
      </w:r>
      <w:r>
        <w:rPr>
          <w:rFonts w:ascii="Times New Roman" w:hAnsi="Times New Roman"/>
          <w:color w:val="000000"/>
          <w:sz w:val="15"/>
        </w:rPr>
        <w:t>”</w:t>
      </w:r>
      <w:r>
        <w:rPr>
          <w:rFonts w:ascii="Times New Roman" w:hAnsi="Times New Roman"/>
          <w:color w:val="000000"/>
          <w:sz w:val="22"/>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the case of a Prospectus in light of the circumstances in which they were made, not misleading.</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2"/>
          <w:u w:val="single"/>
        </w:rPr>
        <w:t>Sufficient Number of Shares Registered</w:t>
      </w:r>
      <w:r>
        <w:rPr>
          <w:rFonts w:ascii="Times New Roman" w:hAnsi="Times New Roman"/>
          <w:color w:val="000000"/>
          <w:sz w:val="22"/>
        </w:rPr>
        <w:t>. In the event the number of shares available under the Initial Registration Statement at any time is insufficient to cover the Registrable Securities or the SEC prevents the Company from including any or all of the Registrable Securities on the Initial Registration Statement notwithstanding the Company’s diligent efforts to advocate for the registration of all or a greater portion of such Registrable Securities, the Company shall, to the extent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necessary and permissible, amend the Initial Registration Statement or file a new registration statement (together with any prospectuses or prospectus supplements thereunder, a “</w:t>
      </w:r>
      <w:r>
        <w:rPr>
          <w:rFonts w:ascii="Times New Roman" w:hAnsi="Times New Roman"/>
          <w:b/>
          <w:color w:val="000000"/>
          <w:sz w:val="22"/>
        </w:rPr>
        <w:t>New Registration Statement</w:t>
      </w:r>
      <w:r>
        <w:rPr>
          <w:rFonts w:ascii="Times New Roman" w:hAnsi="Times New Roman"/>
          <w:color w:val="000000"/>
          <w:sz w:val="15"/>
        </w:rPr>
        <w:t>”</w:t>
      </w:r>
      <w:r>
        <w:rPr>
          <w:rFonts w:ascii="Times New Roman" w:hAnsi="Times New Roman"/>
          <w:color w:val="000000"/>
          <w:sz w:val="22"/>
        </w:rPr>
        <w:t>), so as to cover all of such Registrable Securities as soon as reasonably practicable, but in any event not later than the Filing Deadline. The Company shall use its reasonable best efforts to have such amendment and/or New Registration Statement become effective as soon as reasonably practicable following the filing thereof but no later than the earlier of (i) the sixtieth (60</w:t>
      </w:r>
      <w:r>
        <w:rPr>
          <w:rFonts w:ascii="Times New Roman" w:hAnsi="Times New Roman"/>
          <w:color w:val="000000"/>
          <w:sz w:val="15"/>
        </w:rPr>
        <w:t>th</w:t>
      </w:r>
      <w:r>
        <w:rPr>
          <w:rFonts w:ascii="Times New Roman" w:hAnsi="Times New Roman"/>
          <w:color w:val="000000"/>
          <w:sz w:val="22"/>
        </w:rPr>
        <w:t>) calendar day following the Filing Deadline for the New Registration Statement if the SEC notifies the Company that it will “review” the New Registration Statement, and (ii) the fifth (5</w:t>
      </w:r>
      <w:r>
        <w:rPr>
          <w:rFonts w:ascii="Times New Roman" w:hAnsi="Times New Roman"/>
          <w:color w:val="000000"/>
          <w:sz w:val="15"/>
        </w:rPr>
        <w:t>th</w:t>
      </w:r>
      <w:r>
        <w:rPr>
          <w:rFonts w:ascii="Times New Roman" w:hAnsi="Times New Roman"/>
          <w:color w:val="000000"/>
          <w:sz w:val="22"/>
        </w:rPr>
        <w:t>) Business Day after the date the Company is notified (orally or in writing, whichever is earlier) by the SEC that the New Registration Statement will not be “reviewed” or will not be subject to further review (the earlier of such dates, the “</w:t>
      </w:r>
      <w:r>
        <w:rPr>
          <w:rFonts w:ascii="Times New Roman" w:hAnsi="Times New Roman"/>
          <w:b/>
          <w:color w:val="000000"/>
          <w:sz w:val="22"/>
        </w:rPr>
        <w:t>New Registration Effectiveness Deadline</w:t>
      </w:r>
      <w:r>
        <w:rPr>
          <w:rFonts w:ascii="Times New Roman" w:hAnsi="Times New Roman"/>
          <w:color w:val="000000"/>
          <w:sz w:val="15"/>
        </w:rPr>
        <w:t>”</w:t>
      </w:r>
      <w:r>
        <w:rPr>
          <w:rFonts w:ascii="Times New Roman" w:hAnsi="Times New Roman"/>
          <w:color w:val="000000"/>
          <w:sz w:val="22"/>
        </w:rPr>
        <w:t xml:space="preserve">). The provisions of </w:t>
      </w:r>
      <w:r>
        <w:rPr>
          <w:rFonts w:ascii="Times New Roman" w:hAnsi="Times New Roman"/>
          <w:color w:val="000000"/>
          <w:sz w:val="22"/>
          <w:u w:val="single"/>
        </w:rPr>
        <w:t>Section 2(a)</w:t>
      </w:r>
      <w:r>
        <w:rPr>
          <w:rFonts w:ascii="Times New Roman" w:hAnsi="Times New Roman"/>
          <w:color w:val="000000"/>
          <w:sz w:val="15"/>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15"/>
        </w:rPr>
        <w:t xml:space="preserve"> </w:t>
      </w:r>
      <w:r>
        <w:rPr>
          <w:rFonts w:ascii="Times New Roman" w:hAnsi="Times New Roman"/>
          <w:color w:val="000000"/>
          <w:sz w:val="22"/>
        </w:rPr>
        <w:t>shall apply to the New Registration Statement, except as modified hereby.</w:t>
      </w:r>
    </w:p>
    <w:p>
      <w:pPr>
        <w:pStyle w:val="TextBody"/>
        <w:bidi w:val="0"/>
        <w:spacing w:before="0" w:after="240"/>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2"/>
          <w:u w:val="single"/>
        </w:rPr>
        <w:t>Liquidated Damages</w:t>
      </w:r>
      <w:r>
        <w:rPr>
          <w:rFonts w:ascii="Times New Roman" w:hAnsi="Times New Roman"/>
          <w:color w:val="000000"/>
          <w:sz w:val="22"/>
        </w:rPr>
        <w:t>. If (i) the Initial Registration Statement has not been filed by the Filing Deadline, (ii) the Initial Registration Statement has not been declared effective by the Effectiveness Deadline, (iii) the New Registration Statement has not been filed by the Filing Deadline with respect to such New Registration Statement,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each a “</w:t>
      </w:r>
      <w:r>
        <w:rPr>
          <w:rFonts w:ascii="Times New Roman" w:hAnsi="Times New Roman"/>
          <w:b/>
          <w:color w:val="000000"/>
          <w:sz w:val="22"/>
        </w:rPr>
        <w:t>Maintenance Failure</w:t>
      </w:r>
      <w:r>
        <w:rPr>
          <w:rFonts w:ascii="Times New Roman" w:hAnsi="Times New Roman"/>
          <w:color w:val="000000"/>
          <w:sz w:val="20"/>
        </w:rPr>
        <w:t>”</w:t>
      </w:r>
      <w:r>
        <w:rPr>
          <w:rFonts w:ascii="Times New Roman" w:hAnsi="Times New Roman"/>
          <w:color w:val="000000"/>
          <w:sz w:val="22"/>
        </w:rPr>
        <w:t>), but excluding any Allowed Delay (as defined below) or, if the Registration Statement is on Form S-1, for a period of twenty (20) days following the date on which the Company files a post-effective amendment to incorporate the Company’s Annual Report on Form 10-K, then the Company will make pro rata payments to each Investor then holding Registrable Securities, as liquidated damages and not as a penalty, in an amount equal to 1.0% of the aggregate purchase price paid pursuant to the Purchase Agreement by such Investor for such Registrable Securities then held by such Investor for each thirty (30)-day period or pro rata for any portion thereof during which the failure continues (the “</w:t>
      </w:r>
      <w:r>
        <w:rPr>
          <w:rFonts w:ascii="Times New Roman" w:hAnsi="Times New Roman"/>
          <w:b/>
          <w:color w:val="000000"/>
          <w:sz w:val="22"/>
        </w:rPr>
        <w:t>Blackout Period</w:t>
      </w:r>
      <w:r>
        <w:rPr>
          <w:rFonts w:ascii="Times New Roman" w:hAnsi="Times New Roman"/>
          <w:color w:val="000000"/>
          <w:sz w:val="20"/>
        </w:rPr>
        <w:t>”</w:t>
      </w:r>
      <w:r>
        <w:rPr>
          <w:rFonts w:ascii="Times New Roman" w:hAnsi="Times New Roman"/>
          <w:color w:val="000000"/>
          <w:sz w:val="22"/>
        </w:rPr>
        <w:t>), provided that no liquidated damages shall be payable (A) if as of the relevant date, the Registrable Securities may be sold by the Investors without volume or manner of sale restrictions under Rule 144, as determined by counsel to the Company pursuant to a written opinion letter to such effect, addressed and reasonably acceptable to the Investors and the Company’s transfer agent (regardless of whether the restrictive legend has been actually removed from the certificates representing such Registrable Securities), subject only to receipt by the Company and its counsel from such Investor of customary non-affiliate representations, (B) to an Investor in the event it is unable to lawfully sell any of the Registrable Securities because of possession of material non-public information, (C) if and to the extent that, despite reasonable best efforts by the Company to avoid a breach hereof, the Company’s failure was caused by a government shutdown resulting in the SEC’s inability to review or declare effective the Registration Statement, (D) to an Investor causing an event that relates to or is caused by any action or inaction taken by such Investor, (E) except with respect to clause (i), if as of the relevant date, the Investors do not hold any Preferred Shares, (F) with respect to clauses (i) or (ii), such Preferred Shares are to be registered on a New Registration Statement in accordance with, and within the periods required by, Section 2(c), or (G) with respect to any period after the expiration of the Registration Period. The Company shall not be liable for liquidated damages under this Agreement as to any Registrable Securities which are not permitted by the SEC to be included in the Registration Statement due solely to SEC Guidance; in such case, the liquidated damages shall be calculated to only apply to the percentage of Registrable Securities which are permitted in accordance with the SEC Guidance to be included in such Registration Statement. Such payments shall constitute the Investors' exclusive monetary remedy for such events, but shall not affect the right of the Investors to seek injunctive relief. The amounts payable as liquidated damages pursuant to this paragraph shall be paid in cash no later than five (5) Business Days after each such thirty (30)-day period following the commencement of the Blackout Period until the termination of the Blackout Period (the “</w:t>
      </w:r>
      <w:r>
        <w:rPr>
          <w:rFonts w:ascii="Times New Roman" w:hAnsi="Times New Roman"/>
          <w:b/>
          <w:color w:val="000000"/>
          <w:sz w:val="22"/>
        </w:rPr>
        <w:t>Blackout Period Payment Date</w:t>
      </w:r>
      <w:r>
        <w:rPr>
          <w:rFonts w:ascii="Times New Roman" w:hAnsi="Times New Roman"/>
          <w:color w:val="000000"/>
          <w:sz w:val="20"/>
        </w:rPr>
        <w:t>”</w:t>
      </w:r>
      <w:r>
        <w:rPr>
          <w:rFonts w:ascii="Times New Roman" w:hAnsi="Times New Roman"/>
          <w:color w:val="000000"/>
          <w:sz w:val="22"/>
        </w:rPr>
        <w:t>). Interest shall accrue at the rate of 0.5% per month (pro-rated for any period less than a month) on any such liquidated damages payments that shall not be paid by the Blackout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Period Payment Date until such amount is paid in full. Notwithstanding the above, in no event shall the aggregate amount of liquidated damages (or interest thereon) paid under this Agreement to any Investor exceed, in the aggregate, 5.0% of the aggregate purchase price of the Preferred Shares purchased by such Investor under the Purchase Agreement. Notwithstanding anything in this </w:t>
      </w:r>
      <w:r>
        <w:rPr>
          <w:rFonts w:ascii="Times New Roman" w:hAnsi="Times New Roman"/>
          <w:color w:val="000000"/>
          <w:sz w:val="22"/>
          <w:u w:val="single"/>
        </w:rPr>
        <w:t>Section 2(d)</w:t>
      </w:r>
      <w:r>
        <w:rPr>
          <w:rFonts w:ascii="Times New Roman" w:hAnsi="Times New Roman"/>
          <w:color w:val="000000"/>
          <w:sz w:val="22"/>
        </w:rPr>
        <w:t xml:space="preserve"> to the contrary, during any periods that the Company is unable to meet its obligations hereunder with respect to the registration of the Registrable Securities because any Investor fails to furnish information required to be provided pursuant to </w:t>
      </w:r>
      <w:r>
        <w:rPr>
          <w:rFonts w:ascii="Times New Roman" w:hAnsi="Times New Roman"/>
          <w:color w:val="000000"/>
          <w:sz w:val="22"/>
          <w:u w:val="single"/>
        </w:rPr>
        <w:t>Section 2(a)</w:t>
      </w:r>
      <w:r>
        <w:rPr>
          <w:rFonts w:ascii="Times New Roman" w:hAnsi="Times New Roman"/>
          <w:color w:val="000000"/>
          <w:sz w:val="22"/>
        </w:rPr>
        <w:t xml:space="preserve"> or </w:t>
      </w:r>
      <w:r>
        <w:rPr>
          <w:rFonts w:ascii="Times New Roman" w:hAnsi="Times New Roman"/>
          <w:color w:val="000000"/>
          <w:sz w:val="22"/>
          <w:u w:val="single"/>
        </w:rPr>
        <w:t>Section 4(a)</w:t>
      </w:r>
      <w:r>
        <w:rPr>
          <w:rFonts w:ascii="Times New Roman" w:hAnsi="Times New Roman"/>
          <w:color w:val="000000"/>
          <w:sz w:val="22"/>
        </w:rPr>
        <w:t xml:space="preserve"> within three (3) Business Days of the Company’s request, any liquidated damages that would otherwise accrue as to such Investor only shall be tolled until such information is delivered to the Company.</w:t>
      </w:r>
    </w:p>
    <w:p>
      <w:pPr>
        <w:pStyle w:val="TextBody"/>
        <w:bidi w:val="0"/>
        <w:spacing w:before="0" w:after="240"/>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2"/>
          <w:u w:val="single"/>
        </w:rPr>
        <w:t>Allowed Delays</w:t>
      </w:r>
      <w:r>
        <w:rPr>
          <w:rFonts w:ascii="Times New Roman" w:hAnsi="Times New Roman"/>
          <w:color w:val="000000"/>
          <w:sz w:val="22"/>
        </w:rPr>
        <w:t>. On no more than two (2) occasions in any twelve (12) month period and for not more than forty-five (45) consecutive calendar days and for a total of not more than ninety (90) days in any twelve (12) month period, the Company may delay the effectiveness of the Initial Registration Statement or any other Registration Statement, or suspend the use of any Prospectus, in the event that the Company or its Board of Directors reasonably determines, in good faith and upon the advice of legal counsel, that such delay or suspension is necessary to (A) delay the disclosure of material non-public information concerning the Company, the disclosure of which at the time is not, in the good faith opinion of the Company, in the best interests of the Company, including in connection with the negotiation or consummation of a material transaction by the Company or any of its subsidiaries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color w:val="000000"/>
          <w:sz w:val="22"/>
        </w:rPr>
        <w:t>Allowed Delay</w:t>
      </w:r>
      <w:r>
        <w:rPr>
          <w:rFonts w:ascii="Times New Roman" w:hAnsi="Times New Roman"/>
          <w:color w:val="000000"/>
          <w:sz w:val="20"/>
        </w:rPr>
        <w:t>”</w:t>
      </w:r>
      <w:r>
        <w:rPr>
          <w:rFonts w:ascii="Times New Roman" w:hAnsi="Times New Roman"/>
          <w:color w:val="000000"/>
          <w:sz w:val="22"/>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reasonably practicable.</w:t>
      </w:r>
    </w:p>
    <w:p>
      <w:pPr>
        <w:pStyle w:val="TextBody"/>
        <w:bidi w:val="0"/>
        <w:spacing w:before="0" w:after="240"/>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2"/>
          <w:u w:val="single"/>
        </w:rPr>
        <w:t>Rule 415; Cutback</w:t>
      </w:r>
      <w:r>
        <w:rPr>
          <w:rFonts w:ascii="Times New Roman" w:hAnsi="Times New Roman"/>
          <w:color w:val="000000"/>
          <w:sz w:val="22"/>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at such Investor’s expense, which counsel shall be selected by the Required Investors, to review and oversee any registration or matters pursuant to this </w:t>
      </w:r>
      <w:r>
        <w:rPr>
          <w:rFonts w:ascii="Times New Roman" w:hAnsi="Times New Roman"/>
          <w:color w:val="000000"/>
          <w:sz w:val="22"/>
          <w:u w:val="single"/>
        </w:rPr>
        <w:t>Section 2(f)</w:t>
      </w:r>
      <w:r>
        <w:rPr>
          <w:rFonts w:ascii="Times New Roman" w:hAnsi="Times New Roman"/>
          <w:color w:val="000000"/>
          <w:sz w:val="22"/>
        </w:rPr>
        <w:t xml:space="preserve">, including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hAnsi="Times New Roman"/>
          <w:color w:val="000000"/>
          <w:sz w:val="22"/>
          <w:u w:val="single"/>
        </w:rPr>
        <w:t>Section 2(f)</w:t>
      </w:r>
      <w:r>
        <w:rPr>
          <w:rFonts w:ascii="Times New Roman" w:hAnsi="Times New Roman"/>
          <w:color w:val="000000"/>
          <w:sz w:val="22"/>
        </w:rPr>
        <w:t>, the SEC refuses to alter its position, the Company shall (i) remove from such Registration Statement such portion of the Registrable Securities (the “</w:t>
      </w:r>
      <w:r>
        <w:rPr>
          <w:rFonts w:ascii="Times New Roman" w:hAnsi="Times New Roman"/>
          <w:b/>
          <w:color w:val="000000"/>
          <w:sz w:val="22"/>
        </w:rPr>
        <w:t>Cut Back Shares</w:t>
      </w:r>
      <w:r>
        <w:rPr>
          <w:rFonts w:ascii="Times New Roman" w:hAnsi="Times New Roman"/>
          <w:color w:val="000000"/>
          <w:sz w:val="20"/>
        </w:rPr>
        <w:t>”</w:t>
      </w:r>
      <w:r>
        <w:rPr>
          <w:rFonts w:ascii="Times New Roman" w:hAnsi="Times New Roman"/>
          <w:color w:val="000000"/>
          <w:sz w:val="22"/>
        </w:rPr>
        <w:t>) and/or (ii) agree to such restrictions and limitations on the registration and resale of the Registrable Securities as the SEC may require to assure the Company’s compliance with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the requirements of Rule 415 (collectively, the “</w:t>
      </w:r>
      <w:r>
        <w:rPr>
          <w:rFonts w:ascii="Times New Roman" w:hAnsi="Times New Roman"/>
          <w:b/>
          <w:color w:val="000000"/>
          <w:sz w:val="22"/>
        </w:rPr>
        <w:t>SEC Restrictions</w:t>
      </w:r>
      <w:r>
        <w:rPr>
          <w:rFonts w:ascii="Times New Roman" w:hAnsi="Times New Roman"/>
          <w:color w:val="000000"/>
          <w:sz w:val="15"/>
        </w:rPr>
        <w:t>”</w:t>
      </w:r>
      <w:r>
        <w:rPr>
          <w:rFonts w:ascii="Times New Roman" w:hAnsi="Times New Roman"/>
          <w:color w:val="000000"/>
          <w:sz w:val="22"/>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hAnsi="Times New Roman"/>
          <w:color w:val="000000"/>
          <w:sz w:val="22"/>
          <w:u w:val="single"/>
        </w:rPr>
        <w:t>Section 2(f)</w:t>
      </w:r>
      <w:r>
        <w:rPr>
          <w:rFonts w:ascii="Times New Roman" w:hAnsi="Times New Roman"/>
          <w:color w:val="000000"/>
          <w:sz w:val="15"/>
        </w:rPr>
        <w:t xml:space="preserve"> </w:t>
      </w:r>
      <w:r>
        <w:rPr>
          <w:rFonts w:ascii="Times New Roman" w:hAnsi="Times New Roman"/>
          <w:color w:val="000000"/>
          <w:sz w:val="22"/>
        </w:rPr>
        <w:t>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hAnsi="Times New Roman"/>
          <w:b/>
          <w:color w:val="000000"/>
          <w:sz w:val="22"/>
        </w:rPr>
        <w:t>Restriction Termination Date</w:t>
      </w:r>
      <w:r>
        <w:rPr>
          <w:rFonts w:ascii="Times New Roman" w:hAnsi="Times New Roman"/>
          <w:color w:val="000000"/>
          <w:sz w:val="15"/>
        </w:rPr>
        <w:t>”</w:t>
      </w:r>
      <w:r>
        <w:rPr>
          <w:rFonts w:ascii="Times New Roman" w:hAnsi="Times New Roman"/>
          <w:color w:val="000000"/>
          <w:sz w:val="22"/>
        </w:rPr>
        <w:t xml:space="preserve">). From and after the Restriction Termination Date applicable to any Cut Back Shares, all of the provisions of this </w:t>
      </w:r>
      <w:r>
        <w:rPr>
          <w:rFonts w:ascii="Times New Roman" w:hAnsi="Times New Roman"/>
          <w:color w:val="000000"/>
          <w:sz w:val="22"/>
          <w:u w:val="single"/>
        </w:rPr>
        <w:t>Section 2</w:t>
      </w:r>
      <w:r>
        <w:rPr>
          <w:rFonts w:ascii="Times New Roman" w:hAnsi="Times New Roman"/>
          <w:color w:val="000000"/>
          <w:sz w:val="15"/>
        </w:rPr>
        <w:t xml:space="preserve"> </w:t>
      </w:r>
      <w:r>
        <w:rPr>
          <w:rFonts w:ascii="Times New Roman" w:hAnsi="Times New Roman"/>
          <w:color w:val="000000"/>
          <w:sz w:val="22"/>
        </w:rPr>
        <w:t>(including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 applicable to such Cut Back Shares; provided, however, that the date by which the Company is required to file the Registration Statement with respect to such Cut Back Shares shall be the tenth (10</w:t>
      </w:r>
      <w:r>
        <w:rPr>
          <w:rFonts w:ascii="Times New Roman" w:hAnsi="Times New Roman"/>
          <w:color w:val="000000"/>
          <w:sz w:val="15"/>
        </w:rPr>
        <w:t>th</w:t>
      </w:r>
      <w:r>
        <w:rPr>
          <w:rFonts w:ascii="Times New Roman" w:hAnsi="Times New Roman"/>
          <w:color w:val="000000"/>
          <w:sz w:val="22"/>
        </w:rPr>
        <w:t>) calendar day following the Restriction Termination Date and the date by which the Company is required to have the Registration Statement effective with respect to such Cut Back Shares shall be the fifty-fifth (55</w:t>
      </w:r>
      <w:r>
        <w:rPr>
          <w:rFonts w:ascii="Times New Roman" w:hAnsi="Times New Roman"/>
          <w:color w:val="000000"/>
          <w:sz w:val="15"/>
        </w:rPr>
        <w:t>th</w:t>
      </w:r>
      <w:r>
        <w:rPr>
          <w:rFonts w:ascii="Times New Roman" w:hAnsi="Times New Roman"/>
          <w:color w:val="000000"/>
          <w:sz w:val="22"/>
        </w:rPr>
        <w:t>) calendar day immediately after the Restriction Termination Date.</w:t>
      </w:r>
    </w:p>
    <w:p>
      <w:pPr>
        <w:pStyle w:val="TextBody"/>
        <w:bidi w:val="0"/>
        <w:spacing w:before="0" w:after="240"/>
        <w:jc w:val="both"/>
        <w:rPr>
          <w:rFonts w:ascii="Times New Roman" w:hAnsi="Times New Roman"/>
          <w:sz w:val="20"/>
        </w:rPr>
      </w:pPr>
      <w:r>
        <w:rPr>
          <w:rFonts w:ascii="Times New Roman" w:hAnsi="Times New Roman"/>
          <w:caps/>
          <w:color w:val="000000"/>
          <w:sz w:val="24"/>
        </w:rPr>
        <w:t>3.</w:t>
      </w:r>
      <w:r>
        <w:rPr>
          <w:rFonts w:ascii="Times New Roman" w:hAnsi="Times New Roman"/>
          <w:caps/>
          <w:color w:val="000000"/>
          <w:sz w:val="20"/>
        </w:rPr>
        <w:t xml:space="preserve"> </w:t>
      </w:r>
      <w:r>
        <w:rPr>
          <w:rFonts w:ascii="Times New Roman" w:hAnsi="Times New Roman"/>
          <w:caps/>
          <w:color w:val="000000"/>
          <w:sz w:val="22"/>
        </w:rPr>
        <w:t>related company obligations</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With respect to the Registration Statement and whenever any Registrable Securities are to be Registered pursuant to </w:t>
      </w:r>
      <w:r>
        <w:rPr>
          <w:rFonts w:ascii="Times New Roman" w:hAnsi="Times New Roman"/>
          <w:color w:val="000000"/>
          <w:sz w:val="22"/>
          <w:u w:val="single"/>
        </w:rPr>
        <w:t>Section 2</w:t>
      </w:r>
      <w:r>
        <w:rPr>
          <w:rFonts w:ascii="Times New Roman" w:hAnsi="Times New Roman"/>
          <w:color w:val="000000"/>
          <w:sz w:val="22"/>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2"/>
          <w:u w:val="single"/>
        </w:rPr>
        <w:t>Notifications</w:t>
      </w:r>
      <w:r>
        <w:rPr>
          <w:rFonts w:ascii="Times New Roman" w:hAnsi="Times New Roman"/>
          <w:color w:val="000000"/>
          <w:sz w:val="22"/>
        </w:rPr>
        <w:t>. The Company will promptly notify the Investors of the time when any subsequent amendment to the Initial Registration Statement or any New Registration Statement, other than any document incorporated by reference, has been filed with the SEC and/or has become effective or where a receipt has been issued therefor or any subsequent supplement to a Prospectus has been filed and of any written request by the SEC for any amendment or supplement to the Registration Statement (after the effectiveness of such Registration Statement), any New Registration Statement or any Prospectus or for additional information regarding the Investors.</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2"/>
          <w:u w:val="single"/>
        </w:rPr>
        <w:t>Amendments</w:t>
      </w:r>
      <w:r>
        <w:rPr>
          <w:rFonts w:ascii="Times New Roman" w:hAnsi="Times New Roman"/>
          <w:color w:val="000000"/>
          <w:sz w:val="22"/>
        </w:rPr>
        <w:t>. The Company will prepare and file with the SEC any amendments, post-effective amendments or supplements to the Initial Registration Statement, any New Registration Statement or any Prospectus, as applicable, (a) as may be necessary to keep such Registration Statement effective for the Registration Period and to comply with the provisions of the Securities Act and the Securities Exchange Act of 1934, as amended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2"/>
          <w:u w:val="single"/>
        </w:rPr>
        <w:t>Investor Review</w:t>
      </w:r>
      <w:r>
        <w:rPr>
          <w:rFonts w:ascii="Times New Roman" w:hAnsi="Times New Roman"/>
          <w:color w:val="000000"/>
          <w:sz w:val="22"/>
        </w:rPr>
        <w:t>. The Company will not file any amendment or supplement to the Registration Statement, any New Registration Statement or any Prospectus, other than a document incorporated by reference, relating to the Investors, the Registrable Securities or the transactions contemplated hereby unless (A) the Investors shall have been advised and afforded the opportunity to review and comment thereon at least three (3) Business Days prior to filing with the SEC and (B)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shall have given reasonable due consideration to any comments thereon received from the Investors or their counsel.</w:t>
      </w:r>
    </w:p>
    <w:p>
      <w:pPr>
        <w:pStyle w:val="TextBody"/>
        <w:bidi w:val="0"/>
        <w:spacing w:before="0" w:after="240"/>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2"/>
          <w:u w:val="single"/>
        </w:rPr>
        <w:t>Copies Available</w:t>
      </w:r>
      <w:r>
        <w:rPr>
          <w:rFonts w:ascii="Times New Roman" w:hAnsi="Times New Roman"/>
          <w:color w:val="000000"/>
          <w:sz w:val="22"/>
        </w:rPr>
        <w:t>. The Company will furnish to any Investor whose Registrable Securities are included in any Registration Statement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an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any Investor to the extent such document is available on EDGAR.</w:t>
      </w:r>
    </w:p>
    <w:p>
      <w:pPr>
        <w:pStyle w:val="TextBody"/>
        <w:bidi w:val="0"/>
        <w:spacing w:before="0" w:after="240"/>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2"/>
          <w:u w:val="single"/>
        </w:rPr>
        <w:t>Notification of Stop Orders; Material Changes</w:t>
      </w:r>
      <w:r>
        <w:rPr>
          <w:rFonts w:ascii="Times New Roman" w:hAnsi="Times New Roman"/>
          <w:color w:val="000000"/>
          <w:sz w:val="22"/>
        </w:rPr>
        <w:t>. The Company shall use reasonable best efforts to (i) prevent the issuance of any stop order or other suspension of effectiveness and (ii) if such order is issued, obtain the withdrawal of any such order as soon as reasonably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 (i) to (iii) of the immediately preceding sentence (each, a “</w:t>
      </w:r>
      <w:r>
        <w:rPr>
          <w:rFonts w:ascii="Times New Roman" w:hAnsi="Times New Roman"/>
          <w:b/>
          <w:color w:val="000000"/>
          <w:sz w:val="22"/>
        </w:rPr>
        <w:t>Suspension Event</w:t>
      </w:r>
      <w:r>
        <w:rPr>
          <w:rFonts w:ascii="Times New Roman" w:hAnsi="Times New Roman"/>
          <w:color w:val="000000"/>
          <w:sz w:val="20"/>
        </w:rPr>
        <w:t>”</w:t>
      </w:r>
      <w:r>
        <w:rPr>
          <w:rFonts w:ascii="Times New Roman" w:hAnsi="Times New Roman"/>
          <w:color w:val="000000"/>
          <w:sz w:val="22"/>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w:t>
      </w:r>
      <w:r>
        <w:rPr>
          <w:rFonts w:ascii="Times New Roman" w:hAnsi="Times New Roman"/>
          <w:color w:val="000000"/>
          <w:sz w:val="22"/>
          <w:u w:val="single"/>
        </w:rPr>
        <w:t>Section 3(e)</w:t>
      </w:r>
      <w:r>
        <w:rPr>
          <w:rFonts w:ascii="Times New Roman" w:hAnsi="Times New Roman"/>
          <w:color w:val="000000"/>
          <w:sz w:val="22"/>
        </w:rPr>
        <w:t>, the Company will use its commercially reasonable efforts to publicly disclose such event as soon as reasonably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forty-five (45) consecutive calendar days; provided, further, that the Company may not suspend the use of all Registration Statements more than twice, or for more than ninety (90) total calendar days, in each case during any twelve (12) month period.</w:t>
      </w:r>
    </w:p>
    <w:p>
      <w:pPr>
        <w:pStyle w:val="TextBody"/>
        <w:bidi w:val="0"/>
        <w:spacing w:before="0" w:after="240"/>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2"/>
          <w:u w:val="single"/>
        </w:rPr>
        <w:t>Confirmation of Effectiveness</w:t>
      </w:r>
      <w:r>
        <w:rPr>
          <w:rFonts w:ascii="Times New Roman" w:hAnsi="Times New Roman"/>
          <w:color w:val="000000"/>
          <w:sz w:val="22"/>
        </w:rPr>
        <w:t>. If requested by an Investor at any time in respect of any Registration Statement, the Company shall deliver to such Investor a written confirmation (email being sufficient) from the Company’s counsel of whether or not the effectiveness of such Registration Statement has lapsed at any time for any reason (including, without limitation, the issuance of a stop order) and whether or not such Registration Statement is currently effective and available to the Investors for resale of Registrable Securities.</w:t>
      </w:r>
    </w:p>
    <w:p>
      <w:pPr>
        <w:pStyle w:val="TextBody"/>
        <w:bidi w:val="0"/>
        <w:spacing w:before="0" w:after="240"/>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2"/>
          <w:u w:val="single"/>
        </w:rPr>
        <w:t>Listing</w:t>
      </w:r>
      <w:r>
        <w:rPr>
          <w:rFonts w:ascii="Times New Roman" w:hAnsi="Times New Roman"/>
          <w:color w:val="000000"/>
          <w:sz w:val="22"/>
        </w:rPr>
        <w:t>. The Company shall use reasonable best efforts to cause all Registrable Securities covered by a Registration Statement to be listed on the Nasdaq Capital Market or such other Trading Market that is the principal Trading Market on which the Common Stock is listed or traded.</w:t>
      </w:r>
    </w:p>
    <w:p>
      <w:pPr>
        <w:pStyle w:val="TextBody"/>
        <w:bidi w:val="0"/>
        <w:spacing w:lineRule="auto" w:line="360" w:before="0" w:after="240"/>
        <w:jc w:val="both"/>
        <w:rPr>
          <w:rFonts w:ascii="Times New Roman" w:hAnsi="Times New Roman"/>
          <w:sz w:val="15"/>
        </w:rPr>
      </w:pPr>
      <w:r>
        <w:rPr>
          <w:rFonts w:ascii="Times New Roman" w:hAnsi="Times New Roman"/>
          <w:color w:val="000000"/>
          <w:sz w:val="24"/>
        </w:rPr>
        <w:t>(h)</w:t>
      </w:r>
      <w:r>
        <w:rPr>
          <w:rFonts w:ascii="Times New Roman" w:hAnsi="Times New Roman"/>
          <w:color w:val="000000"/>
          <w:sz w:val="15"/>
        </w:rPr>
        <w:t xml:space="preserve"> </w:t>
      </w:r>
      <w:r>
        <w:rPr>
          <w:rFonts w:ascii="Times New Roman" w:hAnsi="Times New Roman"/>
          <w:color w:val="000000"/>
          <w:sz w:val="22"/>
          <w:u w:val="single"/>
        </w:rPr>
        <w:t>Compliance</w:t>
      </w:r>
      <w:r>
        <w:rPr>
          <w:rFonts w:ascii="Times New Roman" w:hAnsi="Times New Roman"/>
          <w:color w:val="000000"/>
          <w:sz w:val="22"/>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Investors in writing if, at any time during the Registration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not later than the Availability Date (as defined below), including by the filing of periodic reports through the SEC’s EDGAR system,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hAnsi="Times New Roman"/>
          <w:color w:val="000000"/>
          <w:sz w:val="22"/>
          <w:u w:val="single"/>
        </w:rPr>
        <w:t>subsection 3(h)</w:t>
      </w:r>
      <w:r>
        <w:rPr>
          <w:rFonts w:ascii="Times New Roman" w:hAnsi="Times New Roman"/>
          <w:color w:val="000000"/>
          <w:sz w:val="22"/>
        </w:rPr>
        <w:t>, “</w:t>
      </w:r>
      <w:r>
        <w:rPr>
          <w:rFonts w:ascii="Times New Roman" w:hAnsi="Times New Roman"/>
          <w:b/>
          <w:color w:val="000000"/>
          <w:sz w:val="22"/>
        </w:rPr>
        <w:t>Availability Date</w:t>
      </w:r>
      <w:r>
        <w:rPr>
          <w:rFonts w:ascii="Times New Roman" w:hAnsi="Times New Roman"/>
          <w:color w:val="000000"/>
          <w:sz w:val="15"/>
        </w:rPr>
        <w:t xml:space="preserve">” </w:t>
      </w:r>
      <w:r>
        <w:rPr>
          <w:rFonts w:ascii="Times New Roman" w:hAnsi="Times New Roman"/>
          <w:color w:val="000000"/>
          <w:sz w:val="22"/>
        </w:rPr>
        <w:t>means the forty-fifth (45</w:t>
      </w:r>
      <w:r>
        <w:rPr>
          <w:rFonts w:ascii="Times New Roman" w:hAnsi="Times New Roman"/>
          <w:color w:val="000000"/>
          <w:sz w:val="15"/>
        </w:rPr>
        <w:t>th</w:t>
      </w:r>
      <w:r>
        <w:rPr>
          <w:rFonts w:ascii="Times New Roman" w:hAnsi="Times New Roman"/>
          <w:color w:val="000000"/>
          <w:sz w:val="22"/>
        </w:rPr>
        <w:t>) day following the end of the fourth fiscal quarter that includes the effective date of such Registration Statement, except that, if such fourth (4</w:t>
      </w:r>
      <w:r>
        <w:rPr>
          <w:rFonts w:ascii="Times New Roman" w:hAnsi="Times New Roman"/>
          <w:color w:val="000000"/>
          <w:sz w:val="15"/>
        </w:rPr>
        <w:t>th</w:t>
      </w:r>
      <w:r>
        <w:rPr>
          <w:rFonts w:ascii="Times New Roman" w:hAnsi="Times New Roman"/>
          <w:color w:val="000000"/>
          <w:sz w:val="22"/>
        </w:rPr>
        <w:t>) fiscal quarter is the last quarter of the Company’s fiscal year, “</w:t>
      </w:r>
      <w:r>
        <w:rPr>
          <w:rFonts w:ascii="Times New Roman" w:hAnsi="Times New Roman"/>
          <w:b/>
          <w:color w:val="000000"/>
          <w:sz w:val="22"/>
        </w:rPr>
        <w:t>Availability Date</w:t>
      </w:r>
      <w:r>
        <w:rPr>
          <w:rFonts w:ascii="Times New Roman" w:hAnsi="Times New Roman"/>
          <w:color w:val="000000"/>
          <w:sz w:val="15"/>
        </w:rPr>
        <w:t xml:space="preserve">” </w:t>
      </w:r>
      <w:r>
        <w:rPr>
          <w:rFonts w:ascii="Times New Roman" w:hAnsi="Times New Roman"/>
          <w:color w:val="000000"/>
          <w:sz w:val="22"/>
        </w:rPr>
        <w:t>means the ninetieth (90</w:t>
      </w:r>
      <w:r>
        <w:rPr>
          <w:rFonts w:ascii="Times New Roman" w:hAnsi="Times New Roman"/>
          <w:color w:val="000000"/>
          <w:sz w:val="15"/>
        </w:rPr>
        <w:t>th</w:t>
      </w:r>
      <w:r>
        <w:rPr>
          <w:rFonts w:ascii="Times New Roman" w:hAnsi="Times New Roman"/>
          <w:color w:val="000000"/>
          <w:sz w:val="22"/>
        </w:rPr>
        <w:t>) day after the end of such fourth (4</w:t>
      </w:r>
      <w:r>
        <w:rPr>
          <w:rFonts w:ascii="Times New Roman" w:hAnsi="Times New Roman"/>
          <w:color w:val="000000"/>
          <w:sz w:val="15"/>
        </w:rPr>
        <w:t>th</w:t>
      </w:r>
      <w:r>
        <w:rPr>
          <w:rFonts w:ascii="Times New Roman" w:hAnsi="Times New Roman"/>
          <w:color w:val="000000"/>
          <w:sz w:val="22"/>
        </w:rPr>
        <w:t>) fiscal quarter).</w:t>
      </w:r>
    </w:p>
    <w:p>
      <w:pPr>
        <w:pStyle w:val="TextBody"/>
        <w:bidi w:val="0"/>
        <w:spacing w:before="0" w:after="24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2"/>
          <w:u w:val="single"/>
        </w:rPr>
        <w:t>Blue-Sky</w:t>
      </w:r>
      <w:r>
        <w:rPr>
          <w:rFonts w:ascii="Times New Roman" w:hAnsi="Times New Roman"/>
          <w:color w:val="000000"/>
          <w:sz w:val="22"/>
        </w:rPr>
        <w:t xml:space="preserve">. The Company shall register or qualify or cooperate with the Investors and their counsel in connection with the registration or qualification of such Registrable Securities for the offer and sale under the securities or blue sky laws of such jurisdictions reasonably requested by any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color w:val="000000"/>
          <w:sz w:val="22"/>
          <w:u w:val="single"/>
        </w:rPr>
        <w:t>Section 3(i)</w:t>
      </w:r>
      <w:r>
        <w:rPr>
          <w:rFonts w:ascii="Times New Roman" w:hAnsi="Times New Roman"/>
          <w:color w:val="000000"/>
          <w:sz w:val="22"/>
        </w:rPr>
        <w:t xml:space="preserve">, (ii) subject itself to general taxation in any jurisdiction where it would not otherwise be so subject but for this </w:t>
      </w:r>
      <w:r>
        <w:rPr>
          <w:rFonts w:ascii="Times New Roman" w:hAnsi="Times New Roman"/>
          <w:color w:val="000000"/>
          <w:sz w:val="22"/>
          <w:u w:val="single"/>
        </w:rPr>
        <w:t>Section 3(i)</w:t>
      </w:r>
      <w:r>
        <w:rPr>
          <w:rFonts w:ascii="Times New Roman" w:hAnsi="Times New Roman"/>
          <w:color w:val="000000"/>
          <w:sz w:val="22"/>
        </w:rPr>
        <w:t>, or (iii) file a general consent to service of process in any such jurisdiction.</w:t>
      </w:r>
    </w:p>
    <w:p>
      <w:pPr>
        <w:pStyle w:val="TextBody"/>
        <w:bidi w:val="0"/>
        <w:spacing w:before="0" w:after="240"/>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2"/>
          <w:u w:val="single"/>
        </w:rPr>
        <w:t>Rule 144</w:t>
      </w:r>
      <w:r>
        <w:rPr>
          <w:rFonts w:ascii="Times New Roman" w:hAnsi="Times New Roman"/>
          <w:color w:val="000000"/>
          <w:sz w:val="22"/>
        </w:rPr>
        <w:t>. With a view to making available to the Investors the benefits of Rule 144 (or its successor rule) and any other rule or regulation of the SEC that may at any time permit the Investors to sell shares of Common Stock to the public without registration, for so long as the Registrable Securities are outstanding, the Company covenants and agrees to: (i) make and keep adequate current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or (B) such date as there are no longer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Registrable Securities; (ii) file with the SEC in a timely manner all reports and other documents required of the Company under the Exchange Act;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by such Investor in order to avail such Investor of any rule or regulation of the SEC that permits the selling of any such Registrable Securities without registration.</w:t>
      </w:r>
    </w:p>
    <w:p>
      <w:pPr>
        <w:pStyle w:val="TextBody"/>
        <w:bidi w:val="0"/>
        <w:spacing w:before="0" w:after="240"/>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2"/>
          <w:u w:val="single"/>
        </w:rPr>
        <w:t>Cooperation</w:t>
      </w:r>
      <w:r>
        <w:rPr>
          <w:rFonts w:ascii="Times New Roman" w:hAnsi="Times New Roman"/>
          <w:color w:val="000000"/>
          <w:sz w:val="22"/>
        </w:rPr>
        <w:t>.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including facilitation of delivery of any legal opinions in connection with the sale or transfer of Registrable Securities pursuant to such Registration Statement or Rule 144, subject to the receipt by the Company from such Investor of customary representations and other documents reasonably acceptable to the Company and its transfer agent in connection therewith; for the avoidance of doubt, the Company may satisfy its obligations hereunder without issuing physical stock certificates through the use of The Depository Trust Company’s Direct Registration System.</w:t>
      </w:r>
    </w:p>
    <w:p>
      <w:pPr>
        <w:pStyle w:val="TextBody"/>
        <w:bidi w:val="0"/>
        <w:spacing w:before="0" w:after="240"/>
        <w:jc w:val="both"/>
        <w:rPr>
          <w:rFonts w:ascii="Times New Roman" w:hAnsi="Times New Roman"/>
          <w:sz w:val="20"/>
        </w:rPr>
      </w:pPr>
      <w:r>
        <w:rPr>
          <w:rFonts w:ascii="Times New Roman" w:hAnsi="Times New Roman"/>
          <w:caps/>
          <w:color w:val="000000"/>
          <w:sz w:val="24"/>
        </w:rPr>
        <w:t>4.</w:t>
      </w:r>
      <w:r>
        <w:rPr>
          <w:rFonts w:ascii="Times New Roman" w:hAnsi="Times New Roman"/>
          <w:caps/>
          <w:color w:val="000000"/>
          <w:sz w:val="20"/>
        </w:rPr>
        <w:t xml:space="preserve"> </w:t>
      </w:r>
      <w:r>
        <w:rPr>
          <w:rFonts w:ascii="Times New Roman" w:hAnsi="Times New Roman"/>
          <w:caps/>
          <w:color w:val="000000"/>
          <w:sz w:val="22"/>
        </w:rPr>
        <w:t>obligations of the investors.</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2"/>
          <w:u w:val="single"/>
        </w:rPr>
        <w:t>Investor Information</w:t>
      </w:r>
      <w:r>
        <w:rPr>
          <w:rFonts w:ascii="Times New Roman" w:hAnsi="Times New Roman"/>
          <w:color w:val="000000"/>
          <w:sz w:val="22"/>
        </w:rPr>
        <w:t xml:space="preserve">. Each Investor shall provide a completed Investor Questionnaire in the form attached hereto as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Questionnaire</w:t>
      </w:r>
      <w:r>
        <w:rPr>
          <w:rFonts w:ascii="Times New Roman" w:hAnsi="Times New Roman"/>
          <w:color w:val="000000"/>
          <w:sz w:val="20"/>
        </w:rPr>
        <w:t>”</w:t>
      </w:r>
      <w:r>
        <w:rPr>
          <w:rFonts w:ascii="Times New Roman" w:hAnsi="Times New Roman"/>
          <w:color w:val="000000"/>
          <w:sz w:val="22"/>
        </w:rPr>
        <w:t xml:space="preserve">) and such other information reasonably requested by the Company in connection with the registration of the Registrable Securities within three (3) Business Days of a request by the Company and no later than the end of the third (3rd) Business Day following the date on which such Investor receives draft materials in accordance with </w:t>
      </w:r>
      <w:r>
        <w:rPr>
          <w:rFonts w:ascii="Times New Roman" w:hAnsi="Times New Roman"/>
          <w:color w:val="000000"/>
          <w:sz w:val="22"/>
          <w:u w:val="single"/>
        </w:rPr>
        <w:t>Section 2(a)</w:t>
      </w:r>
      <w:r>
        <w:rPr>
          <w:rFonts w:ascii="Times New Roman" w:hAnsi="Times New Roman"/>
          <w:color w:val="000000"/>
          <w:sz w:val="22"/>
        </w:rPr>
        <w:t>. If the Company has not received such completed Questionnaire from an Investor within five (5) days of the Company’s request, the Company may file the Registration Statement without including such Investor’s Registrable Securities.</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2"/>
          <w:u w:val="single"/>
        </w:rPr>
        <w:t>Suspension of Sales</w:t>
      </w:r>
      <w:r>
        <w:rPr>
          <w:rFonts w:ascii="Times New Roman" w:hAnsi="Times New Roman"/>
          <w:color w:val="000000"/>
          <w:sz w:val="22"/>
        </w:rPr>
        <w:t>.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2"/>
          <w:u w:val="single"/>
        </w:rPr>
        <w:t>Investor Cooperation</w:t>
      </w:r>
      <w:r>
        <w:rPr>
          <w:rFonts w:ascii="Times New Roman" w:hAnsi="Times New Roman"/>
          <w:color w:val="000000"/>
          <w:sz w:val="22"/>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4"/>
        </w:rPr>
        <w:t>5.</w:t>
      </w:r>
      <w:r>
        <w:rPr>
          <w:rFonts w:ascii="Times New Roman" w:hAnsi="Times New Roman"/>
          <w:caps/>
          <w:color w:val="000000"/>
          <w:sz w:val="20"/>
        </w:rPr>
        <w:t xml:space="preserve"> </w:t>
      </w:r>
      <w:r>
        <w:rPr>
          <w:rFonts w:ascii="Times New Roman" w:hAnsi="Times New Roman"/>
          <w:caps/>
          <w:color w:val="000000"/>
          <w:sz w:val="22"/>
        </w:rPr>
        <w:t>Expenses of REGISTRATION.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pStyle w:val="TextBody"/>
        <w:bidi w:val="0"/>
        <w:spacing w:before="0" w:after="240"/>
        <w:jc w:val="both"/>
        <w:rPr>
          <w:rFonts w:ascii="Times New Roman" w:hAnsi="Times New Roman"/>
          <w:sz w:val="20"/>
        </w:rPr>
      </w:pPr>
      <w:r>
        <w:rPr>
          <w:rFonts w:ascii="Times New Roman" w:hAnsi="Times New Roman"/>
          <w:caps/>
          <w:color w:val="000000"/>
          <w:sz w:val="24"/>
        </w:rPr>
        <w:t>6.</w:t>
      </w:r>
      <w:r>
        <w:rPr>
          <w:rFonts w:ascii="Times New Roman" w:hAnsi="Times New Roman"/>
          <w:caps/>
          <w:color w:val="000000"/>
          <w:sz w:val="20"/>
        </w:rPr>
        <w:t xml:space="preserve"> </w:t>
      </w:r>
      <w:r>
        <w:rPr>
          <w:rFonts w:ascii="Times New Roman" w:hAnsi="Times New Roman"/>
          <w:caps/>
          <w:color w:val="000000"/>
          <w:sz w:val="22"/>
        </w:rPr>
        <w:t>indemnification.</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2"/>
        </w:rPr>
        <w:t>To the fullest extent permitted by law, the Company will, and hereby does, indemnify, hold harmless and defend each Investor, each Person, if any, who controls each Investor, the members, the directors, officers, partners, employees, members, managers, agents, representatives and advisors of each Investor and each Person, if any, who controls the Investors within the meaning of the Securities Act or the Exchange Act (each, an “</w:t>
      </w:r>
      <w:r>
        <w:rPr>
          <w:rFonts w:ascii="Times New Roman" w:hAnsi="Times New Roman"/>
          <w:b/>
          <w:color w:val="000000"/>
          <w:sz w:val="22"/>
        </w:rPr>
        <w:t>Indemnified Person</w:t>
      </w:r>
      <w:r>
        <w:rPr>
          <w:rFonts w:ascii="Times New Roman" w:hAnsi="Times New Roman"/>
          <w:color w:val="000000"/>
          <w:sz w:val="20"/>
        </w:rPr>
        <w:t>”</w:t>
      </w:r>
      <w:r>
        <w:rPr>
          <w:rFonts w:ascii="Times New Roman" w:hAnsi="Times New Roman"/>
          <w:color w:val="000000"/>
          <w:sz w:val="22"/>
        </w:rPr>
        <w:t>), against any losses, obligations, claims, damages, liabilities, contingencies, judgments, fines, penalties, charges, costs (including, without limitation, court costs and costs of preparation), reasonable and documented attorneys’ fees, amounts paid in settlement (with the prior written consent of the Company, such consent not to be unreasonably withheld, conditioned or delayed) and reasonable and documented expenses (collectively, “</w:t>
      </w:r>
      <w:r>
        <w:rPr>
          <w:rFonts w:ascii="Times New Roman" w:hAnsi="Times New Roman"/>
          <w:b/>
          <w:color w:val="000000"/>
          <w:sz w:val="22"/>
        </w:rPr>
        <w:t>Losses</w:t>
      </w:r>
      <w:r>
        <w:rPr>
          <w:rFonts w:ascii="Times New Roman" w:hAnsi="Times New Roman"/>
          <w:color w:val="000000"/>
          <w:sz w:val="20"/>
        </w:rPr>
        <w:t>”</w:t>
      </w:r>
      <w:r>
        <w:rPr>
          <w:rFonts w:ascii="Times New Roman" w:hAnsi="Times New Roman"/>
          <w:color w:val="000000"/>
          <w:sz w:val="22"/>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hAnsi="Times New Roman"/>
          <w:b/>
          <w:color w:val="000000"/>
          <w:sz w:val="22"/>
        </w:rPr>
        <w:t>Indemnified Claims</w:t>
      </w:r>
      <w:r>
        <w:rPr>
          <w:rFonts w:ascii="Times New Roman" w:hAnsi="Times New Roman"/>
          <w:color w:val="000000"/>
          <w:sz w:val="20"/>
        </w:rPr>
        <w:t>”</w:t>
      </w:r>
      <w:r>
        <w:rPr>
          <w:rFonts w:ascii="Times New Roman" w:hAnsi="Times New Roman"/>
          <w:color w:val="000000"/>
          <w:sz w:val="22"/>
        </w:rPr>
        <w:t>), to which any of them may become subject insofar as such Indemnified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color w:val="000000"/>
          <w:sz w:val="22"/>
        </w:rPr>
        <w:t>Violations</w:t>
      </w:r>
      <w:r>
        <w:rPr>
          <w:rFonts w:ascii="Times New Roman" w:hAnsi="Times New Roman"/>
          <w:color w:val="000000"/>
          <w:sz w:val="20"/>
        </w:rPr>
        <w:t>”</w:t>
      </w:r>
      <w:r>
        <w:rPr>
          <w:rFonts w:ascii="Times New Roman" w:hAnsi="Times New Roman"/>
          <w:color w:val="000000"/>
          <w:sz w:val="22"/>
        </w:rPr>
        <w:t xml:space="preserve">). The Company shall reimburse each Indemnified Person promptly as such Losses are incurred and are due and payable by them in connection with investigating or defending any such Indemnified Claim. Notwithstanding anything to the contrary contained herein, the indemnification agreement contained in this </w:t>
      </w:r>
      <w:r>
        <w:rPr>
          <w:rFonts w:ascii="Times New Roman" w:hAnsi="Times New Roman"/>
          <w:color w:val="000000"/>
          <w:sz w:val="22"/>
          <w:u w:val="single"/>
        </w:rPr>
        <w:t>Section 6(a)</w:t>
      </w:r>
      <w:r>
        <w:rPr>
          <w:rFonts w:ascii="Times New Roman" w:hAnsi="Times New Roman"/>
          <w:color w:val="000000"/>
          <w:sz w:val="22"/>
        </w:rPr>
        <w:t>: (A) shall not apply to an Indemnified Claim by an Indemnified Person arising out of or based upon a Violation which occurs in reliance upon and in conformity with information furnished in writing to the Company by or on behalf of the relevant Investor or such relevant Indemnified Person specifically for use in such Registration Statement or prospectus and was reviewed and approved in writing by such Investor or such Indemnified Person or their respective representatives expressly for use in connection with the preparation of any Registration Statement, any prospectus or any such amendment thereof or supplement thereto if the foregoing was timely made available by the Company; (B) with respect to any superseded prospectus, shall not inure to the benefit of any such Person from whom the Person asserting any such Indemnified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Indemnified Claim is based on a failure of the relevant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Indemnified Claim if such settlement is effected without the prior written consent of the Company, which consent shall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not be unreasonably withheld, conditioned or delayed. Such indemnity shall remain in full force and effect regardless of any investigation made by or on behalf of the Indemnified Person and shall survive the transfer of the Registrable Securities by an Investor pursuant to </w:t>
      </w:r>
      <w:r>
        <w:rPr>
          <w:rFonts w:ascii="Times New Roman" w:hAnsi="Times New Roman"/>
          <w:color w:val="000000"/>
          <w:sz w:val="22"/>
          <w:u w:val="single"/>
        </w:rPr>
        <w:t>Section 8</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2"/>
        </w:rPr>
        <w:t>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 w:hAnsi="Times New Roman"/>
          <w:b/>
          <w:color w:val="000000"/>
          <w:sz w:val="22"/>
        </w:rPr>
        <w:t>Indemnified Party</w:t>
      </w:r>
      <w:r>
        <w:rPr>
          <w:rFonts w:ascii="Times New Roman" w:hAnsi="Times New Roman"/>
          <w:color w:val="000000"/>
          <w:sz w:val="20"/>
        </w:rPr>
        <w:t>”</w:t>
      </w:r>
      <w:r>
        <w:rPr>
          <w:rFonts w:ascii="Times New Roman" w:hAnsi="Times New Roman"/>
          <w:color w:val="000000"/>
          <w:sz w:val="22"/>
        </w:rPr>
        <w:t xml:space="preserve">), against any losses, claims, damages, liabilities and expenses (including reasonable attorney fees) resulting from (i) any untrue statement or alleged untrue statement or omission or alleged omission of any material fact contained in any Registration Statement to the extent, and only to the extent, that such untrue statement or alleged untrue statement or omission or alleged omission occurred in reliance upon and in conformity with information about the relevant Investor furnished in writing by such Investor to the Company expressly for use in connection with the preparation of the Registration Statement, any New Registration Statement, any prospectus or any such amendment thereof or supplement thereto or (ii) any violation or alleged violation by such Investor of its obligations under this Agreement. In no event shall the liability of an Investor under this </w:t>
      </w:r>
      <w:r>
        <w:rPr>
          <w:rFonts w:ascii="Times New Roman" w:hAnsi="Times New Roman"/>
          <w:color w:val="000000"/>
          <w:sz w:val="22"/>
          <w:u w:val="single"/>
        </w:rPr>
        <w:t>Section 6(b)</w:t>
      </w:r>
      <w:r>
        <w:rPr>
          <w:rFonts w:ascii="Times New Roman" w:hAnsi="Times New Roman"/>
          <w:color w:val="000000"/>
          <w:sz w:val="20"/>
        </w:rPr>
        <w:t xml:space="preserve"> </w:t>
      </w:r>
      <w:r>
        <w:rPr>
          <w:rFonts w:ascii="Times New Roman" w:hAnsi="Times New Roman"/>
          <w:color w:val="000000"/>
          <w:sz w:val="22"/>
        </w:rPr>
        <w:t xml:space="preserve">be greater in amount than the dollar amount of the proceeds (net of all expenses paid by such Investor in connection with any claim relating to this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 xml:space="preserve">and the amount of any damages such Investor has otherwise been required to pay by reason of such untrue statement or omission, such alleged untrue statement or omission, such violation or such alleged violation)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hAnsi="Times New Roman"/>
          <w:color w:val="000000"/>
          <w:sz w:val="22"/>
          <w:u w:val="single"/>
        </w:rPr>
        <w:t>Section 6(b)</w:t>
      </w:r>
      <w:r>
        <w:rPr>
          <w:rFonts w:ascii="Times New Roman" w:hAnsi="Times New Roman"/>
          <w:color w:val="000000"/>
          <w:sz w:val="22"/>
        </w:rPr>
        <w:t xml:space="preserve">, shall not apply to amounts paid in settlement of any Indemnified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hAnsi="Times New Roman"/>
          <w:color w:val="000000"/>
          <w:sz w:val="22"/>
          <w:u w:val="single"/>
        </w:rPr>
        <w:t>Section 8</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2"/>
        </w:rPr>
        <w:t xml:space="preserve">Promptly after receipt by an Indemnified Person or Indemnified Party under this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 xml:space="preserve">of notice of the commencement of any action or proceeding (including any governmental action or proceeding) involving an Indemnified Claim, such Indemnified Person or Indemnified Party shall, if an Indemnified Claim in respect thereof is to be made against any indemnifying party under this </w:t>
      </w:r>
      <w:r>
        <w:rPr>
          <w:rFonts w:ascii="Times New Roman" w:hAnsi="Times New Roman"/>
          <w:color w:val="000000"/>
          <w:sz w:val="22"/>
          <w:u w:val="single"/>
        </w:rPr>
        <w:t>Section 6</w:t>
      </w:r>
      <w:r>
        <w:rPr>
          <w:rFonts w:ascii="Times New Roman" w:hAnsi="Times New Roman"/>
          <w:color w:val="000000"/>
          <w:sz w:val="22"/>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color w:val="000000"/>
          <w:sz w:val="22"/>
          <w:u w:val="single"/>
        </w:rPr>
        <w:t>Section 6</w:t>
      </w:r>
      <w:r>
        <w:rPr>
          <w:rFonts w:ascii="Times New Roman" w:hAnsi="Times New Roman"/>
          <w:color w:val="000000"/>
          <w:sz w:val="22"/>
        </w:rPr>
        <w:t>, except to the extent that the indemnifying party is materially prejudiced in its ability to defend such action.</w:t>
      </w:r>
    </w:p>
    <w:p>
      <w:pPr>
        <w:pStyle w:val="TextBody"/>
        <w:bidi w:val="0"/>
        <w:spacing w:before="0" w:after="240"/>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2"/>
        </w:rPr>
        <w:t xml:space="preserve">The indemnification required by this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 xml:space="preserve">shall be made by periodic payments of the amount thereof during the course of the investigation or defense, as and when bills are received or Losses are incurred. Any Person receiving a payment pursuant to this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which person is later determined to not be entitled to such payment shall promptly return such payment (including reimbursement of expenses) to the person making it.</w:t>
      </w:r>
    </w:p>
    <w:p>
      <w:pPr>
        <w:pStyle w:val="TextBody"/>
        <w:bidi w:val="0"/>
        <w:spacing w:before="0" w:after="240"/>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2"/>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240"/>
        <w:jc w:val="both"/>
        <w:rPr>
          <w:rFonts w:ascii="Times New Roman" w:hAnsi="Times New Roman"/>
          <w:sz w:val="20"/>
        </w:rPr>
      </w:pPr>
      <w:r>
        <w:rPr>
          <w:rFonts w:ascii="Times New Roman" w:hAnsi="Times New Roman"/>
          <w:caps/>
          <w:color w:val="000000"/>
          <w:sz w:val="24"/>
        </w:rPr>
        <w:t>7.</w:t>
      </w:r>
      <w:r>
        <w:rPr>
          <w:rFonts w:ascii="Times New Roman" w:hAnsi="Times New Roman"/>
          <w:caps/>
          <w:color w:val="000000"/>
          <w:sz w:val="20"/>
        </w:rPr>
        <w:t xml:space="preserve"> </w:t>
      </w:r>
      <w:r>
        <w:rPr>
          <w:rFonts w:ascii="Times New Roman" w:hAnsi="Times New Roman"/>
          <w:caps/>
          <w:color w:val="000000"/>
          <w:sz w:val="22"/>
        </w:rPr>
        <w:t>contribution.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color w:val="000000"/>
          <w:sz w:val="22"/>
          <w:u w:val="single"/>
        </w:rPr>
        <w:t>Section 6</w:t>
      </w:r>
      <w:r>
        <w:rPr>
          <w:rFonts w:ascii="Times New Roman" w:hAnsi="Times New Roman"/>
          <w:color w:val="000000"/>
          <w:sz w:val="22"/>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hAnsi="Times New Roman"/>
          <w:color w:val="000000"/>
          <w:sz w:val="22"/>
          <w:u w:val="single"/>
        </w:rPr>
        <w:t>Section 7</w:t>
      </w:r>
      <w:r>
        <w:rPr>
          <w:rFonts w:ascii="Times New Roman" w:hAnsi="Times New Roman"/>
          <w:color w:val="000000"/>
          <w:sz w:val="22"/>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pStyle w:val="TextBody"/>
        <w:bidi w:val="0"/>
        <w:spacing w:before="0" w:after="240"/>
        <w:jc w:val="both"/>
        <w:rPr>
          <w:rFonts w:ascii="Times New Roman" w:hAnsi="Times New Roman"/>
          <w:sz w:val="20"/>
        </w:rPr>
      </w:pPr>
      <w:r>
        <w:rPr>
          <w:rFonts w:ascii="Times New Roman" w:hAnsi="Times New Roman"/>
          <w:caps/>
          <w:color w:val="000000"/>
          <w:sz w:val="24"/>
        </w:rPr>
        <w:t>8.</w:t>
      </w:r>
      <w:r>
        <w:rPr>
          <w:rFonts w:ascii="Times New Roman" w:hAnsi="Times New Roman"/>
          <w:caps/>
          <w:color w:val="000000"/>
          <w:sz w:val="20"/>
        </w:rPr>
        <w:t xml:space="preserve"> </w:t>
      </w:r>
      <w:r>
        <w:rPr>
          <w:rFonts w:ascii="Times New Roman" w:hAnsi="Times New Roman"/>
          <w:caps/>
          <w:color w:val="000000"/>
          <w:sz w:val="22"/>
        </w:rPr>
        <w:t>assignment of registration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each Investor in connection with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transaction unless such securities are otherwise freely tradable by such Investor after giving effect to such transaction, and the prior written consent of the Required Investors shall not be required for such transaction.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Investor may assign its rights under this Agreement, other than to an Affiliate of such Investor or to any other investment funds or accounts managed or advised by the investment manager who acts on behalf of such Investor or in connection with a transfer of Registrable Securities prior to the occurrence of, or that does not result in, any Termination Event, without the prior written consent of the Company, which consent shall not be unreasonably withheld, conditioned or delayed.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provisions of this Agreement shall be binding upon and inure to the benefit of the Investors and their successors and permitted assigns.</w:t>
      </w:r>
    </w:p>
    <w:p>
      <w:pPr>
        <w:pStyle w:val="TextBody"/>
        <w:bidi w:val="0"/>
        <w:spacing w:before="0" w:after="240"/>
        <w:jc w:val="both"/>
        <w:rPr>
          <w:rFonts w:ascii="Times New Roman" w:hAnsi="Times New Roman"/>
          <w:sz w:val="20"/>
        </w:rPr>
      </w:pPr>
      <w:r>
        <w:rPr>
          <w:rFonts w:ascii="Times New Roman" w:hAnsi="Times New Roman"/>
          <w:caps/>
          <w:color w:val="000000"/>
          <w:sz w:val="24"/>
        </w:rPr>
        <w:t>9.</w:t>
      </w:r>
      <w:r>
        <w:rPr>
          <w:rFonts w:ascii="Times New Roman" w:hAnsi="Times New Roman"/>
          <w:caps/>
          <w:color w:val="000000"/>
          <w:sz w:val="20"/>
        </w:rPr>
        <w:t xml:space="preserve"> </w:t>
      </w:r>
      <w:r>
        <w:rPr>
          <w:rFonts w:ascii="Times New Roman" w:hAnsi="Times New Roman"/>
          <w:caps/>
          <w:color w:val="000000"/>
          <w:sz w:val="22"/>
        </w:rPr>
        <w:t>amendments and waivers.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provisions of this Agreement, including the provisions of this sentence, may be amended, modified or supplemented, or waived only by a written instrument executed by (i) the Company and (ii) the Required Investors,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and (3) any amendments to Section 6 or Section 7 or to the definitions of “Filing Deadline,” “Effectiveness Deadline,” “New Registration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to which such waiver or consent relates (determined as if all of the outstanding shares of Preferred Stock then outstanding were converted in full without regard to any limitations on the conversion thereof, including the requirement to obtain Stockholder Approval or any beneficial ownership limitations and excluding any Warrant Shares underlying any unexercised Warrants).</w:t>
      </w:r>
    </w:p>
    <w:p>
      <w:pPr>
        <w:pStyle w:val="TextBody"/>
        <w:bidi w:val="0"/>
        <w:spacing w:before="0" w:after="240"/>
        <w:jc w:val="both"/>
        <w:rPr>
          <w:rFonts w:ascii="Times New Roman" w:hAnsi="Times New Roman"/>
          <w:sz w:val="20"/>
        </w:rPr>
      </w:pPr>
      <w:r>
        <w:rPr>
          <w:rFonts w:ascii="Times New Roman" w:hAnsi="Times New Roman"/>
          <w:caps/>
          <w:color w:val="000000"/>
          <w:sz w:val="24"/>
        </w:rPr>
        <w:t>10.</w:t>
      </w:r>
      <w:r>
        <w:rPr>
          <w:rFonts w:ascii="Times New Roman" w:hAnsi="Times New Roman"/>
          <w:caps/>
          <w:color w:val="000000"/>
          <w:sz w:val="20"/>
        </w:rPr>
        <w:t xml:space="preserve"> </w:t>
      </w:r>
      <w:r>
        <w:rPr>
          <w:rFonts w:ascii="Times New Roman" w:hAnsi="Times New Roman"/>
          <w:caps/>
          <w:color w:val="000000"/>
          <w:sz w:val="22"/>
        </w:rPr>
        <w:t>miscellaneous.</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2"/>
          <w:u w:val="single"/>
        </w:rPr>
        <w:t>Notices</w:t>
      </w:r>
      <w:r>
        <w:rPr>
          <w:rFonts w:ascii="Times New Roman" w:hAnsi="Times New Roman"/>
          <w:color w:val="000000"/>
          <w:sz w:val="22"/>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If to the Company, addressed as follows:</w:t>
      </w:r>
    </w:p>
    <w:p>
      <w:pPr>
        <w:pStyle w:val="TextBody"/>
        <w:bidi w:val="0"/>
        <w:jc w:val="both"/>
        <w:rPr>
          <w:rFonts w:ascii="Times New Roman" w:hAnsi="Times New Roman"/>
          <w:color w:val="000000"/>
          <w:sz w:val="22"/>
        </w:rPr>
      </w:pPr>
      <w:r>
        <w:rPr>
          <w:rFonts w:ascii="Times New Roman" w:hAnsi="Times New Roman"/>
          <w:color w:val="000000"/>
          <w:sz w:val="22"/>
        </w:rPr>
        <w:t>Bolt Biotherapeutics, Inc.</w:t>
      </w:r>
    </w:p>
    <w:p>
      <w:pPr>
        <w:pStyle w:val="TextBody"/>
        <w:bidi w:val="0"/>
        <w:jc w:val="both"/>
        <w:rPr>
          <w:rFonts w:ascii="Times New Roman" w:hAnsi="Times New Roman"/>
          <w:color w:val="000000"/>
          <w:sz w:val="22"/>
        </w:rPr>
      </w:pPr>
      <w:r>
        <w:rPr>
          <w:rFonts w:ascii="Times New Roman" w:hAnsi="Times New Roman"/>
          <w:color w:val="000000"/>
          <w:sz w:val="22"/>
        </w:rPr>
        <w:t>900 Chesapeake Drive</w:t>
      </w:r>
    </w:p>
    <w:p>
      <w:pPr>
        <w:pStyle w:val="TextBody"/>
        <w:bidi w:val="0"/>
        <w:jc w:val="both"/>
        <w:rPr>
          <w:rFonts w:ascii="Times New Roman" w:hAnsi="Times New Roman"/>
          <w:color w:val="000000"/>
          <w:sz w:val="22"/>
        </w:rPr>
      </w:pPr>
      <w:r>
        <w:rPr>
          <w:rFonts w:ascii="Times New Roman" w:hAnsi="Times New Roman"/>
          <w:color w:val="000000"/>
          <w:sz w:val="22"/>
        </w:rPr>
        <w:t>Redwood City, CA 94063</w:t>
      </w:r>
    </w:p>
    <w:p>
      <w:pPr>
        <w:pStyle w:val="TextBody"/>
        <w:bidi w:val="0"/>
        <w:jc w:val="both"/>
        <w:rPr>
          <w:rFonts w:ascii="Times New Roman" w:hAnsi="Times New Roman"/>
          <w:color w:val="000000"/>
          <w:sz w:val="22"/>
        </w:rPr>
      </w:pPr>
      <w:r>
        <w:rPr>
          <w:rFonts w:ascii="Times New Roman" w:hAnsi="Times New Roman"/>
          <w:color w:val="000000"/>
          <w:sz w:val="22"/>
        </w:rPr>
        <w:t>Attention: William Quinn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notice@boltbio.com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(which shall not constitute notice):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Sidley Austin LLP</w:t>
      </w:r>
    </w:p>
    <w:p>
      <w:pPr>
        <w:pStyle w:val="TextBody"/>
        <w:bidi w:val="0"/>
        <w:jc w:val="both"/>
        <w:rPr>
          <w:rFonts w:ascii="Times New Roman" w:hAnsi="Times New Roman"/>
          <w:color w:val="000000"/>
          <w:sz w:val="22"/>
        </w:rPr>
      </w:pPr>
      <w:r>
        <w:rPr>
          <w:rFonts w:ascii="Times New Roman" w:hAnsi="Times New Roman"/>
          <w:color w:val="000000"/>
          <w:sz w:val="22"/>
        </w:rPr>
        <w:t>101 California Street, 35th Floor</w:t>
      </w:r>
    </w:p>
    <w:p>
      <w:pPr>
        <w:pStyle w:val="TextBody"/>
        <w:bidi w:val="0"/>
        <w:jc w:val="both"/>
        <w:rPr>
          <w:rFonts w:ascii="Times New Roman" w:hAnsi="Times New Roman"/>
          <w:color w:val="000000"/>
          <w:sz w:val="22"/>
        </w:rPr>
      </w:pPr>
      <w:r>
        <w:rPr>
          <w:rFonts w:ascii="Times New Roman" w:hAnsi="Times New Roman"/>
          <w:color w:val="000000"/>
          <w:sz w:val="22"/>
        </w:rPr>
        <w:t>San Francisco, CA 94111</w:t>
      </w:r>
    </w:p>
    <w:p>
      <w:pPr>
        <w:pStyle w:val="TextBody"/>
        <w:bidi w:val="0"/>
        <w:jc w:val="both"/>
        <w:rPr>
          <w:rFonts w:ascii="Times New Roman" w:hAnsi="Times New Roman"/>
          <w:color w:val="000000"/>
          <w:sz w:val="22"/>
        </w:rPr>
      </w:pPr>
      <w:r>
        <w:rPr>
          <w:rFonts w:ascii="Times New Roman" w:hAnsi="Times New Roman"/>
          <w:color w:val="000000"/>
          <w:sz w:val="22"/>
        </w:rPr>
        <w:t>Attention: Frank Rahmani and Nick DeAngelis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frahmani@sidley.com; ndeangelis@sidley.com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w:t>
      </w:r>
    </w:p>
    <w:p>
      <w:pPr>
        <w:pStyle w:val="TextBody"/>
        <w:bidi w:val="0"/>
        <w:jc w:val="both"/>
        <w:rPr>
          <w:rFonts w:ascii="Times New Roman" w:hAnsi="Times New Roman"/>
          <w:color w:val="000000"/>
          <w:sz w:val="22"/>
        </w:rPr>
      </w:pPr>
      <w:r>
        <w:rPr>
          <w:rFonts w:ascii="Times New Roman" w:hAnsi="Times New Roman"/>
          <w:color w:val="000000"/>
          <w:sz w:val="22"/>
        </w:rPr>
        <w:t>Prana Therapies, Inc.</w:t>
      </w:r>
    </w:p>
    <w:p>
      <w:pPr>
        <w:pStyle w:val="TextBody"/>
        <w:bidi w:val="0"/>
        <w:jc w:val="both"/>
        <w:rPr>
          <w:rFonts w:ascii="Times New Roman" w:hAnsi="Times New Roman"/>
          <w:color w:val="000000"/>
          <w:sz w:val="22"/>
        </w:rPr>
      </w:pPr>
      <w:r>
        <w:rPr>
          <w:rFonts w:ascii="Times New Roman" w:hAnsi="Times New Roman"/>
          <w:color w:val="000000"/>
          <w:sz w:val="22"/>
        </w:rPr>
        <w:t>378 Neptune Avenue</w:t>
      </w:r>
    </w:p>
    <w:p>
      <w:pPr>
        <w:pStyle w:val="TextBody"/>
        <w:bidi w:val="0"/>
        <w:jc w:val="both"/>
        <w:rPr>
          <w:rFonts w:ascii="Times New Roman" w:hAnsi="Times New Roman"/>
          <w:color w:val="000000"/>
          <w:sz w:val="22"/>
        </w:rPr>
      </w:pPr>
      <w:r>
        <w:rPr>
          <w:rFonts w:ascii="Times New Roman" w:hAnsi="Times New Roman"/>
          <w:color w:val="000000"/>
          <w:sz w:val="22"/>
        </w:rPr>
        <w:t>Encinitas, CA 92024</w:t>
      </w:r>
    </w:p>
    <w:p>
      <w:pPr>
        <w:pStyle w:val="TextBody"/>
        <w:bidi w:val="0"/>
        <w:jc w:val="both"/>
        <w:rPr>
          <w:rFonts w:ascii="Times New Roman" w:hAnsi="Times New Roman"/>
          <w:color w:val="000000"/>
          <w:sz w:val="22"/>
        </w:rPr>
      </w:pPr>
      <w:r>
        <w:rPr>
          <w:rFonts w:ascii="Times New Roman" w:hAnsi="Times New Roman"/>
          <w:color w:val="000000"/>
          <w:sz w:val="22"/>
        </w:rPr>
        <w:t>Attention: Sheila Gujrathi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Email: sgujrathi@pranatherapies.com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w:t>
      </w:r>
    </w:p>
    <w:p>
      <w:pPr>
        <w:pStyle w:val="TextBody"/>
        <w:bidi w:val="0"/>
        <w:jc w:val="both"/>
        <w:rPr>
          <w:rFonts w:ascii="Times New Roman" w:hAnsi="Times New Roman"/>
          <w:color w:val="000000"/>
          <w:sz w:val="22"/>
        </w:rPr>
      </w:pPr>
      <w:r>
        <w:rPr>
          <w:rFonts w:ascii="Times New Roman" w:hAnsi="Times New Roman"/>
          <w:color w:val="000000"/>
          <w:sz w:val="22"/>
        </w:rPr>
        <w:t>Cooley LLP</w:t>
      </w:r>
    </w:p>
    <w:p>
      <w:pPr>
        <w:pStyle w:val="TextBody"/>
        <w:bidi w:val="0"/>
        <w:jc w:val="both"/>
        <w:rPr>
          <w:rFonts w:ascii="Times New Roman" w:hAnsi="Times New Roman"/>
          <w:color w:val="000000"/>
          <w:sz w:val="22"/>
        </w:rPr>
      </w:pPr>
      <w:r>
        <w:rPr>
          <w:rFonts w:ascii="Times New Roman" w:hAnsi="Times New Roman"/>
          <w:color w:val="000000"/>
          <w:sz w:val="22"/>
        </w:rPr>
        <w:t>10265 Science Center Drive</w:t>
      </w:r>
    </w:p>
    <w:p>
      <w:pPr>
        <w:pStyle w:val="TextBody"/>
        <w:bidi w:val="0"/>
        <w:jc w:val="both"/>
        <w:rPr>
          <w:rFonts w:ascii="Times New Roman" w:hAnsi="Times New Roman"/>
          <w:color w:val="000000"/>
          <w:sz w:val="22"/>
        </w:rPr>
      </w:pPr>
      <w:r>
        <w:rPr>
          <w:rFonts w:ascii="Times New Roman" w:hAnsi="Times New Roman"/>
          <w:color w:val="000000"/>
          <w:sz w:val="22"/>
        </w:rPr>
        <w:t>San Diego, CA 92121</w:t>
      </w:r>
    </w:p>
    <w:p>
      <w:pPr>
        <w:pStyle w:val="TextBody"/>
        <w:bidi w:val="0"/>
        <w:jc w:val="both"/>
        <w:rPr>
          <w:rFonts w:ascii="Times New Roman" w:hAnsi="Times New Roman"/>
          <w:color w:val="000000"/>
          <w:sz w:val="22"/>
        </w:rPr>
      </w:pPr>
      <w:r>
        <w:rPr>
          <w:rFonts w:ascii="Times New Roman" w:hAnsi="Times New Roman"/>
          <w:color w:val="000000"/>
          <w:sz w:val="22"/>
        </w:rPr>
        <w:t>Attention: Ken Rollins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Email: krollins@cooley.com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(ii) If to any Investor, at its e-mail address or address set forth on its signature page or Exhibit A to the Purchase Agreement or to such e-mail address, or address as subsequently modified by written notice given in accordance with this </w:t>
      </w:r>
      <w:r>
        <w:rPr>
          <w:rFonts w:ascii="Times New Roman" w:hAnsi="Times New Roman"/>
          <w:color w:val="000000"/>
          <w:sz w:val="22"/>
          <w:u w:val="single"/>
        </w:rPr>
        <w:t>Section 10</w:t>
      </w: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Person may change the address to which notices and communications to it are to be addressed by notification as provided for herein.</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2"/>
          <w:u w:val="single"/>
        </w:rPr>
        <w:t>Consent to Electronic Notice</w:t>
      </w:r>
      <w:r>
        <w:rPr>
          <w:rFonts w:ascii="Times New Roman" w:hAnsi="Times New Roman"/>
          <w:color w:val="000000"/>
          <w:sz w:val="22"/>
        </w:rPr>
        <w:t>. Each Investor consents to the delivery of any stockholder notice pursuant to the Delaware General Corporation Law (the “</w:t>
      </w:r>
      <w:r>
        <w:rPr>
          <w:rFonts w:ascii="Times New Roman" w:hAnsi="Times New Roman"/>
          <w:b/>
          <w:color w:val="000000"/>
          <w:sz w:val="22"/>
        </w:rPr>
        <w:t>DGCL</w:t>
      </w:r>
      <w:r>
        <w:rPr>
          <w:rFonts w:ascii="Times New Roman" w:hAnsi="Times New Roman"/>
          <w:color w:val="000000"/>
          <w:sz w:val="20"/>
        </w:rPr>
        <w:t>”</w:t>
      </w:r>
      <w:r>
        <w:rPr>
          <w:rFonts w:ascii="Times New Roman" w:hAnsi="Times New Roman"/>
          <w:color w:val="000000"/>
          <w:sz w:val="22"/>
        </w:rPr>
        <w:t>), as amended or superseded from time to time, by electronic mail pursuant to Section 232 of the DGCL (or any successor thereto) at the e-mail address set forth below the Investor’s name on the signature page or Exhibit A to the Purchase Agreement,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2"/>
          <w:u w:val="single"/>
        </w:rPr>
        <w:t>Waiver</w:t>
      </w:r>
      <w:r>
        <w:rPr>
          <w:rFonts w:ascii="Times New Roman" w:hAnsi="Times New Roman"/>
          <w:color w:val="000000"/>
          <w:sz w:val="22"/>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2"/>
          <w:u w:val="single"/>
        </w:rPr>
        <w:t>Governing Law</w:t>
      </w:r>
      <w:r>
        <w:rPr>
          <w:rFonts w:ascii="Times New Roman" w:hAnsi="Times New Roman"/>
          <w:color w:val="000000"/>
          <w:sz w:val="22"/>
        </w:rPr>
        <w:t xml:space="preserve">. The provisions of </w:t>
      </w:r>
      <w:r>
        <w:rPr>
          <w:rFonts w:ascii="Times New Roman" w:hAnsi="Times New Roman"/>
          <w:color w:val="000000"/>
          <w:sz w:val="22"/>
          <w:u w:val="single"/>
        </w:rPr>
        <w:t>Section 8.5</w:t>
      </w:r>
      <w:r>
        <w:rPr>
          <w:rFonts w:ascii="Times New Roman" w:hAnsi="Times New Roman"/>
          <w:color w:val="000000"/>
          <w:sz w:val="20"/>
        </w:rPr>
        <w:t xml:space="preserve"> </w:t>
      </w:r>
      <w:r>
        <w:rPr>
          <w:rFonts w:ascii="Times New Roman" w:hAnsi="Times New Roman"/>
          <w:color w:val="000000"/>
          <w:sz w:val="22"/>
        </w:rPr>
        <w:t xml:space="preserve">of the Purchase Agreement are incorporated by reference herein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2"/>
          <w:u w:val="single"/>
        </w:rPr>
        <w:t>Headings</w:t>
      </w:r>
      <w:r>
        <w:rPr>
          <w:rFonts w:ascii="Times New Roman" w:hAnsi="Times New Roman"/>
          <w:color w:val="000000"/>
          <w:sz w:val="22"/>
        </w:rPr>
        <w:t>. The titles, subtitles and headings in this Agreement are for convenience of reference and shall not form part of, or affect the interpretation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2"/>
          <w:u w:val="single"/>
        </w:rPr>
        <w:t>Counterparts</w:t>
      </w:r>
      <w:r>
        <w:rPr>
          <w:rFonts w:ascii="Times New Roman" w:hAnsi="Times New Roman"/>
          <w:color w:val="000000"/>
          <w:sz w:val="22"/>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240"/>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2"/>
          <w:u w:val="single"/>
        </w:rPr>
        <w:t>Further Assurances</w:t>
      </w:r>
      <w:r>
        <w:rPr>
          <w:rFonts w:ascii="Times New Roman" w:hAnsi="Times New Roman"/>
          <w:color w:val="000000"/>
          <w:sz w:val="22"/>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240"/>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2"/>
          <w:u w:val="single"/>
        </w:rPr>
        <w:t>Contract Interpretation</w:t>
      </w:r>
      <w:r>
        <w:rPr>
          <w:rFonts w:ascii="Times New Roman" w:hAnsi="Times New Roman"/>
          <w:color w:val="000000"/>
          <w:sz w:val="22"/>
        </w:rPr>
        <w:t>.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24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2"/>
          <w:u w:val="single"/>
        </w:rPr>
        <w:t>No Third Party Beneficiaries</w:t>
      </w:r>
      <w:r>
        <w:rPr>
          <w:rFonts w:ascii="Times New Roman" w:hAnsi="Times New Roman"/>
          <w:color w:val="000000"/>
          <w:sz w:val="22"/>
        </w:rPr>
        <w:t>. Except as set forth in Sections 6 and 7,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pStyle w:val="TextBody"/>
        <w:bidi w:val="0"/>
        <w:spacing w:before="0" w:after="240"/>
        <w:jc w:val="both"/>
        <w:rPr>
          <w:rFonts w:ascii="Times New Roman" w:hAnsi="Times New Roman"/>
          <w:sz w:val="20"/>
        </w:rPr>
      </w:pPr>
      <w:r>
        <w:rPr>
          <w:rFonts w:ascii="Times New Roman" w:hAnsi="Times New Roman"/>
          <w:color w:val="000000"/>
          <w:sz w:val="24"/>
        </w:rPr>
        <w:t>(j)</w:t>
      </w:r>
      <w:r>
        <w:rPr>
          <w:rFonts w:ascii="Times New Roman" w:hAnsi="Times New Roman"/>
          <w:color w:val="000000"/>
          <w:sz w:val="20"/>
        </w:rPr>
        <w:t xml:space="preserve"> </w:t>
      </w:r>
      <w:r>
        <w:rPr>
          <w:rFonts w:ascii="Times New Roman" w:hAnsi="Times New Roman"/>
          <w:color w:val="000000"/>
          <w:sz w:val="22"/>
          <w:u w:val="single"/>
        </w:rPr>
        <w:t>Severability</w:t>
      </w:r>
      <w:r>
        <w:rPr>
          <w:rFonts w:ascii="Times New Roman" w:hAnsi="Times New Roman"/>
          <w:color w:val="000000"/>
          <w:sz w:val="22"/>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240"/>
        <w:jc w:val="both"/>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color w:val="000000"/>
          <w:sz w:val="22"/>
          <w:u w:val="single"/>
        </w:rPr>
        <w:t>Non-Recourse</w:t>
      </w:r>
      <w:r>
        <w:rPr>
          <w:rFonts w:ascii="Times New Roman" w:hAnsi="Times New Roman"/>
          <w:color w:val="000000"/>
          <w:sz w:val="22"/>
        </w:rPr>
        <w:t>. Notwithstanding anything that may be expressed or implied in this Agreement, each party to this Agreement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the Company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the Company or of any affiliates or assignees thereof, as such for any obligation of the Investors or the Company under this Agreement or any documents or instruments delivered in connection with this Agreement for any claim based on, in respect of or by reason of such obligations or their creation.</w:t>
      </w:r>
    </w:p>
    <w:p>
      <w:pPr>
        <w:pStyle w:val="TextBody"/>
        <w:bidi w:val="0"/>
        <w:spacing w:before="0" w:after="240"/>
        <w:jc w:val="both"/>
        <w:rPr>
          <w:rFonts w:ascii="Times New Roman" w:hAnsi="Times New Roman"/>
          <w:sz w:val="20"/>
        </w:rPr>
      </w:pPr>
      <w:r>
        <w:rPr>
          <w:rFonts w:ascii="Times New Roman" w:hAnsi="Times New Roman"/>
          <w:color w:val="000000"/>
          <w:sz w:val="24"/>
        </w:rPr>
        <w:t>(l)</w:t>
      </w:r>
      <w:r>
        <w:rPr>
          <w:rFonts w:ascii="Times New Roman" w:hAnsi="Times New Roman"/>
          <w:color w:val="000000"/>
          <w:sz w:val="20"/>
        </w:rPr>
        <w:t xml:space="preserve"> </w:t>
      </w:r>
      <w:r>
        <w:rPr>
          <w:rFonts w:ascii="Times New Roman" w:hAnsi="Times New Roman"/>
          <w:color w:val="000000"/>
          <w:sz w:val="22"/>
          <w:u w:val="single"/>
        </w:rPr>
        <w:t>Specific Performance</w:t>
      </w:r>
      <w:r>
        <w:rPr>
          <w:rFonts w:ascii="Times New Roman" w:hAnsi="Times New Roman"/>
          <w:color w:val="000000"/>
          <w:sz w:val="22"/>
        </w:rPr>
        <w:t>. In addition to any and all other remedies that may be available at law in the event of any breach of this Agreement, the Investors shall be entitled to specific performance of the agreements and obligations of the Company hereunder, and the Company shall be entitled to specific performance of the agreements and obligations of the Investors hereunder, and in each case to such other injunction or other equitable relief as may be granted by a court of competent jurisdiction.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(m)</w:t>
      </w:r>
      <w:r>
        <w:rPr>
          <w:rFonts w:ascii="Times New Roman" w:hAnsi="Times New Roman"/>
          <w:color w:val="000000"/>
          <w:sz w:val="20"/>
        </w:rPr>
        <w:t xml:space="preserve"> </w:t>
      </w:r>
      <w:r>
        <w:rPr>
          <w:rFonts w:ascii="Times New Roman" w:hAnsi="Times New Roman"/>
          <w:color w:val="000000"/>
          <w:sz w:val="22"/>
          <w:u w:val="single"/>
        </w:rPr>
        <w:t>Cumulative Remedies</w:t>
      </w:r>
      <w:r>
        <w:rPr>
          <w:rFonts w:ascii="Times New Roman" w:hAnsi="Times New Roman"/>
          <w:color w:val="000000"/>
          <w:sz w:val="22"/>
        </w:rPr>
        <w:t>. The remedies provided herein are cumulative and not exclusive of any remedies provided by law.</w:t>
      </w:r>
    </w:p>
    <w:p>
      <w:pPr>
        <w:pStyle w:val="TextBody"/>
        <w:bidi w:val="0"/>
        <w:spacing w:before="0" w:after="240"/>
        <w:jc w:val="both"/>
        <w:rPr>
          <w:rFonts w:ascii="Times New Roman" w:hAnsi="Times New Roman"/>
          <w:sz w:val="20"/>
        </w:rPr>
      </w:pPr>
      <w:r>
        <w:rPr>
          <w:rFonts w:ascii="Times New Roman" w:hAnsi="Times New Roman"/>
          <w:color w:val="000000"/>
          <w:sz w:val="24"/>
        </w:rPr>
        <w:t>(n)</w:t>
      </w:r>
      <w:r>
        <w:rPr>
          <w:rFonts w:ascii="Times New Roman" w:hAnsi="Times New Roman"/>
          <w:color w:val="000000"/>
          <w:sz w:val="20"/>
        </w:rPr>
        <w:t xml:space="preserve"> </w:t>
      </w:r>
      <w:r>
        <w:rPr>
          <w:rFonts w:ascii="Times New Roman" w:hAnsi="Times New Roman"/>
          <w:color w:val="000000"/>
          <w:sz w:val="22"/>
          <w:u w:val="single"/>
        </w:rPr>
        <w:t>Construction</w:t>
      </w:r>
      <w:r>
        <w:rPr>
          <w:rFonts w:ascii="Times New Roman" w:hAnsi="Times New Roman"/>
          <w:color w:val="000000"/>
          <w:sz w:val="22"/>
        </w:rPr>
        <w:t>. References to “cash,” “dollars” or “$” are to United States dollars.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As used in this Agreement, the words “include” and “including,” and variations thereof, shall not be deemed to be terms of limitation, but rather shall be deemed to be followed by the words “without limitation.” Except as otherwise indicated, all references in this Agreement to “Sections,” “Exhibits” and “Schedules” are intended to refer to Sections of this Agreement and Exhibits and Schedules to this Agreement, respectively.</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 Follows]</w:t>
      </w:r>
    </w:p>
    <w:p>
      <w:pPr>
        <w:pStyle w:val="TextBody"/>
        <w:bidi w:val="0"/>
        <w:jc w:val="left"/>
        <w:rPr>
          <w:rFonts w:ascii="Times New Roman" w:hAnsi="Times New Roman"/>
          <w:i/>
          <w:color w:val="000000"/>
          <w:sz w:val="22"/>
        </w:rPr>
      </w:pPr>
      <w:r>
        <w:rPr>
          <w:rFonts w:ascii="Times New Roman" w:hAnsi="Times New Roman"/>
          <w:i/>
          <w:color w:val="000000"/>
          <w:sz w:val="22"/>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xml:space="preserve"> the parties have caused this Registration Rights Agreement to be duly executed as of the date first written above.</w:t>
      </w:r>
    </w:p>
    <w:tbl>
      <w:tblPr>
        <w:tblW w:w="3504" w:type="dxa"/>
        <w:jc w:val="left"/>
        <w:tblInd w:w="0" w:type="dxa"/>
        <w:tblLayout w:type="fixed"/>
        <w:tblCellMar>
          <w:top w:w="28" w:type="dxa"/>
          <w:left w:w="28" w:type="dxa"/>
          <w:bottom w:w="28" w:type="dxa"/>
          <w:right w:w="28" w:type="dxa"/>
        </w:tblCellMar>
      </w:tblPr>
      <w:tblGrid>
        <w:gridCol w:w="161"/>
        <w:gridCol w:w="146"/>
        <w:gridCol w:w="451"/>
        <w:gridCol w:w="27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smallCaps/>
                <w:color w:val="000000"/>
                <w:sz w:val="20"/>
              </w:rPr>
            </w:pPr>
            <w:r>
              <w:rPr>
                <w:rFonts w:ascii="Times New Roman" w:hAnsi="Times New Roman"/>
                <w:b/>
                <w:smallCaps/>
                <w:color w:val="000000"/>
                <w:sz w:val="20"/>
              </w:rPr>
              <w:t>Bolt Biotherapeutics,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86" w:after="283"/>
              <w:jc w:val="left"/>
              <w:rPr/>
            </w:pPr>
            <w:r>
              <w:rPr/>
              <w:t> </w:t>
            </w:r>
          </w:p>
        </w:tc>
        <w:tc>
          <w:tcPr>
            <w:tcW w:w="146" w:type="dxa"/>
            <w:tcBorders/>
            <w:tcMar>
              <w:top w:w="0" w:type="dxa"/>
              <w:left w:w="0" w:type="dxa"/>
              <w:bottom w:w="0" w:type="dxa"/>
              <w:right w:w="0" w:type="dxa"/>
            </w:tcMar>
            <w:vAlign w:val="center"/>
          </w:tcPr>
          <w:p>
            <w:pPr>
              <w:pStyle w:val="TableContents"/>
              <w:bidi w:val="0"/>
              <w:spacing w:before="86" w:after="283"/>
              <w:jc w:val="left"/>
              <w:rPr/>
            </w:pPr>
            <w:r>
              <w:rPr/>
              <w:t> </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746" w:type="dxa"/>
            <w:tcBorders>
              <w:bottom w:val="single" w:sz="2" w:space="0" w:color="000000"/>
            </w:tcBorders>
            <w:tcMar>
              <w:top w:w="0" w:type="dxa"/>
              <w:left w:w="0" w:type="dxa"/>
              <w:right w:w="0" w:type="dxa"/>
            </w:tcMar>
            <w:vAlign w:val="center"/>
          </w:tcPr>
          <w:p>
            <w:pPr>
              <w:pStyle w:val="TableContents"/>
              <w:bidi w:val="0"/>
              <w:spacing w:before="86"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William P. Quinn</w:t>
              <w:br/>
              <w:t xml:space="preserve">Title: Chief Executive Officer </w:t>
            </w:r>
          </w:p>
        </w:tc>
      </w:tr>
    </w:tbl>
    <w:p>
      <w:pPr>
        <w:pStyle w:val="TextBody"/>
        <w:bidi w:val="0"/>
        <w:jc w:val="left"/>
        <w:rPr/>
      </w:pPr>
      <w:r>
        <w:rPr/>
        <w:t> </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Registration Rights Agreement</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xml:space="preserve"> the parties have caused this Registration Rights Agreement to be duly executed as of the date first written above.</w:t>
      </w:r>
    </w:p>
    <w:p>
      <w:pPr>
        <w:pStyle w:val="TextBody"/>
        <w:bidi w:val="0"/>
        <w:spacing w:before="0" w:after="240"/>
        <w:jc w:val="left"/>
        <w:rPr>
          <w:rFonts w:ascii="Times New Roman" w:hAnsi="Times New Roman"/>
          <w:sz w:val="20"/>
        </w:rPr>
      </w:pPr>
      <w:r>
        <w:rPr>
          <w:rFonts w:ascii="Times New Roman" w:hAnsi="Times New Roman"/>
          <w:b/>
          <w:color w:val="000000"/>
          <w:sz w:val="22"/>
        </w:rPr>
        <w:t>INVESTOR</w:t>
      </w:r>
      <w:r>
        <w:rPr>
          <w:rFonts w:ascii="Times New Roman" w:hAnsi="Times New Roman"/>
          <w:color w:val="000000"/>
          <w:sz w:val="22"/>
        </w:rPr>
        <w: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[NAME]</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u w:val="single"/>
        </w:rPr>
        <w:t xml:space="preserv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Registration Rights Agreement</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center"/>
        <w:rPr>
          <w:rFonts w:ascii="Times New Roman" w:hAnsi="Times New Roman"/>
          <w:sz w:val="22"/>
        </w:rPr>
      </w:pPr>
      <w:r>
        <w:rPr>
          <w:rFonts w:ascii="Times New Roman" w:hAnsi="Times New Roman"/>
          <w:b/>
          <w:color w:val="000000"/>
          <w:sz w:val="22"/>
        </w:rPr>
        <w:t>PLAN OF DISTRIBUTION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stockholders may use any one or more of the following methods when disposing of shares or interests therein: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ordinary brokerage transactions and transactions in which the broker-dealer solicits purchasers;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block trades in which the broker-dealer will attempt to sell the shares as agent, but may position and resell a portion of the block as principal to facilitate the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purchases by a broker-dealer as principal and resale by the broker-dealer for its account;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 exchange distribution in accordance with the rules of the applicable exchange;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privately negotiated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short sales and settlement of short sales entered into after the effective date of the registration statement of which this prospectus is a part;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through the writing or settlement of options or other hedging transactions, whether through an options exchange or otherwise;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broker-dealers may agree with the selling stockholders to sell a specified number of such shares at a stipulated price per share;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combination of any such methods of sale;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any other method permitted pursuant to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regard to any volume or manner-of-sale limitations and without current public information pursuant to Rule 144 under the Securities Act or any other rule of similar effect.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Investor Questionnaire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provides the following information to the Company and represents and warrants that such information is accurate: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QUESTIONNAIRE</w:t>
      </w:r>
    </w:p>
    <w:tbl>
      <w:tblPr>
        <w:tblW w:w="10205" w:type="dxa"/>
        <w:jc w:val="left"/>
        <w:tblInd w:w="0" w:type="dxa"/>
        <w:tblLayout w:type="fixed"/>
        <w:tblCellMar>
          <w:top w:w="28" w:type="dxa"/>
          <w:left w:w="28" w:type="dxa"/>
          <w:bottom w:w="28" w:type="dxa"/>
          <w:right w:w="28" w:type="dxa"/>
        </w:tblCellMar>
      </w:tblPr>
      <w:tblGrid>
        <w:gridCol w:w="161"/>
        <w:gridCol w:w="336"/>
        <w:gridCol w:w="9708"/>
      </w:tblGrid>
      <w:tr>
        <w:trPr/>
        <w:tc>
          <w:tcPr>
            <w:tcW w:w="1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08" w:type="dxa"/>
            <w:tcBorders/>
            <w:vAlign w:val="center"/>
          </w:tcPr>
          <w:p>
            <w:pPr>
              <w:pStyle w:val="TableContents"/>
              <w:bidi w:val="0"/>
              <w:spacing w:before="0" w:after="283"/>
              <w:jc w:val="left"/>
              <w:rPr>
                <w:sz w:val="4"/>
                <w:szCs w:val="4"/>
              </w:rPr>
            </w:pPr>
            <w:r>
              <w:rPr>
                <w:sz w:val="4"/>
                <w:szCs w:val="4"/>
              </w:rPr>
            </w:r>
          </w:p>
        </w:tc>
      </w:tr>
      <w:tr>
        <w:trPr/>
        <w:tc>
          <w:tcPr>
            <w:tcW w:w="497" w:type="dxa"/>
            <w:gridSpan w:val="2"/>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1.</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22"/>
              </w:rPr>
            </w:pPr>
            <w:r>
              <w:rPr>
                <w:rFonts w:ascii="Times New Roman" w:hAnsi="Times New Roman"/>
                <w:b/>
                <w:color w:val="000000"/>
                <w:sz w:val="22"/>
              </w:rPr>
              <w:t>Name.</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Full Legal Name of Investor</w:t>
            </w:r>
          </w:p>
        </w:tc>
      </w:tr>
      <w:tr>
        <w:trPr/>
        <w:tc>
          <w:tcPr>
            <w:tcW w:w="102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Full Legal Name of Registered Holder (if not the same as (a) above) through which Registrable Securities are held:</w:t>
            </w:r>
          </w:p>
        </w:tc>
      </w:tr>
      <w:tr>
        <w:trPr/>
        <w:tc>
          <w:tcPr>
            <w:tcW w:w="102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3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w:t>
            </w:r>
          </w:p>
        </w:tc>
        <w:tc>
          <w:tcPr>
            <w:tcW w:w="970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Full Legal Name of Natural Control Person (which means a natural person who directly or indirectly alone or with others has power to vote or dispose of the securities covered by this Questionnaire):</w:t>
            </w:r>
          </w:p>
        </w:tc>
      </w:tr>
      <w:tr>
        <w:trPr/>
        <w:tc>
          <w:tcPr>
            <w:tcW w:w="102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 Address for Notices to Investor:</w:t>
      </w:r>
    </w:p>
    <w:tbl>
      <w:tblPr>
        <w:tblW w:w="9496" w:type="dxa"/>
        <w:jc w:val="left"/>
        <w:tblInd w:w="0" w:type="dxa"/>
        <w:tblLayout w:type="fixed"/>
        <w:tblCellMar>
          <w:top w:w="28" w:type="dxa"/>
          <w:left w:w="28" w:type="dxa"/>
          <w:bottom w:w="28" w:type="dxa"/>
          <w:right w:w="28" w:type="dxa"/>
        </w:tblCellMar>
      </w:tblPr>
      <w:tblGrid>
        <w:gridCol w:w="9496"/>
      </w:tblGrid>
      <w:tr>
        <w:trPr/>
        <w:tc>
          <w:tcPr>
            <w:tcW w:w="9496" w:type="dxa"/>
            <w:tcBorders/>
            <w:vAlign w:val="center"/>
          </w:tcPr>
          <w:p>
            <w:pPr>
              <w:pStyle w:val="TableContents"/>
              <w:bidi w:val="0"/>
              <w:spacing w:before="0" w:after="283"/>
              <w:jc w:val="left"/>
              <w:rPr>
                <w:sz w:val="4"/>
                <w:szCs w:val="4"/>
              </w:rPr>
            </w:pPr>
            <w:r>
              <w:rPr>
                <w:sz w:val="4"/>
                <w:szCs w:val="4"/>
              </w:rPr>
            </w:r>
          </w:p>
        </w:tc>
      </w:tr>
      <w:tr>
        <w:trPr/>
        <w:tc>
          <w:tcPr>
            <w:tcW w:w="9496" w:type="dxa"/>
            <w:tcBorders>
              <w:bottom w:val="single" w:sz="8" w:space="0" w:color="000000"/>
            </w:tcBorders>
            <w:tcMar>
              <w:top w:w="0" w:type="dxa"/>
              <w:left w:w="0" w:type="dxa"/>
              <w:right w:w="0" w:type="dxa"/>
            </w:tcMar>
            <w:vAlign w:val="center"/>
          </w:tcPr>
          <w:p>
            <w:pPr>
              <w:pStyle w:val="TableContents"/>
              <w:bidi w:val="0"/>
              <w:spacing w:before="0" w:after="240"/>
              <w:jc w:val="left"/>
              <w:rPr/>
            </w:pPr>
            <w:r>
              <w:rPr/>
              <w:t> </w:t>
            </w:r>
          </w:p>
        </w:tc>
      </w:tr>
      <w:tr>
        <w:trPr/>
        <w:tc>
          <w:tcPr>
            <w:tcW w:w="94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4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49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Telephone:_____________________________________________________________________</w:t>
            </w:r>
          </w:p>
        </w:tc>
      </w:tr>
      <w:tr>
        <w:trPr/>
        <w:tc>
          <w:tcPr>
            <w:tcW w:w="949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E-Mail:_______________________________________________________________________</w:t>
            </w:r>
          </w:p>
        </w:tc>
      </w:tr>
      <w:tr>
        <w:trPr/>
        <w:tc>
          <w:tcPr>
            <w:tcW w:w="949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Contact Person:_________________________________________________________________</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3. Broker-Dealer Status:</w:t>
      </w:r>
    </w:p>
    <w:tbl>
      <w:tblPr>
        <w:tblW w:w="10205" w:type="dxa"/>
        <w:jc w:val="left"/>
        <w:tblInd w:w="0" w:type="dxa"/>
        <w:tblLayout w:type="fixed"/>
        <w:tblCellMar>
          <w:top w:w="28" w:type="dxa"/>
          <w:left w:w="28" w:type="dxa"/>
          <w:bottom w:w="28" w:type="dxa"/>
          <w:right w:w="28" w:type="dxa"/>
        </w:tblCellMar>
      </w:tblPr>
      <w:tblGrid>
        <w:gridCol w:w="161"/>
        <w:gridCol w:w="113"/>
        <w:gridCol w:w="125"/>
        <w:gridCol w:w="125"/>
        <w:gridCol w:w="201"/>
        <w:gridCol w:w="136"/>
        <w:gridCol w:w="136"/>
        <w:gridCol w:w="743"/>
        <w:gridCol w:w="702"/>
        <w:gridCol w:w="1115"/>
        <w:gridCol w:w="850"/>
        <w:gridCol w:w="850"/>
        <w:gridCol w:w="850"/>
        <w:gridCol w:w="4098"/>
      </w:tblGrid>
      <w:tr>
        <w:trPr/>
        <w:tc>
          <w:tcPr>
            <w:tcW w:w="1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0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836" w:type="dxa"/>
            <w:gridSpan w:val="6"/>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w:t>
            </w:r>
          </w:p>
        </w:tc>
        <w:tc>
          <w:tcPr>
            <w:tcW w:w="9208" w:type="dxa"/>
            <w:gridSpan w:val="7"/>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Are you a broker-dealer?</w:t>
            </w:r>
          </w:p>
        </w:tc>
      </w:tr>
      <w:tr>
        <w:trPr/>
        <w:tc>
          <w:tcPr>
            <w:tcW w:w="997" w:type="dxa"/>
            <w:gridSpan w:val="7"/>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Yes ☐</w:t>
            </w:r>
          </w:p>
        </w:tc>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8" w:type="dxa"/>
            <w:gridSpan w:val="4"/>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No ☐</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836" w:type="dxa"/>
            <w:gridSpan w:val="6"/>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w:t>
            </w:r>
          </w:p>
        </w:tc>
        <w:tc>
          <w:tcPr>
            <w:tcW w:w="9208" w:type="dxa"/>
            <w:gridSpan w:val="7"/>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“yes” to Section 3(a), did you receive your Registrable Securities as compensation for investment banking services to the Company?</w:t>
            </w:r>
          </w:p>
        </w:tc>
      </w:tr>
      <w:tr>
        <w:trPr/>
        <w:tc>
          <w:tcPr>
            <w:tcW w:w="3557" w:type="dxa"/>
            <w:gridSpan w:val="10"/>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Yes ☐</w:t>
            </w:r>
          </w:p>
        </w:tc>
        <w:tc>
          <w:tcPr>
            <w:tcW w:w="8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8" w:type="dxa"/>
            <w:gridSpan w:val="3"/>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No ☐</w:t>
            </w:r>
          </w:p>
        </w:tc>
      </w:tr>
      <w:tr>
        <w:trPr/>
        <w:tc>
          <w:tcPr>
            <w:tcW w:w="725"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4"/>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Note:</w:t>
            </w:r>
          </w:p>
        </w:tc>
        <w:tc>
          <w:tcPr>
            <w:tcW w:w="7763" w:type="dxa"/>
            <w:gridSpan w:val="5"/>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“no” to Section 3(b), the Commission’s staff has indicated that you should be identified as an underwriter in the Registration Statement.</w:t>
            </w:r>
          </w:p>
        </w:tc>
      </w:tr>
      <w:tr>
        <w:trPr/>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5"/>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w:t>
            </w:r>
          </w:p>
        </w:tc>
        <w:tc>
          <w:tcPr>
            <w:tcW w:w="8465" w:type="dxa"/>
            <w:gridSpan w:val="6"/>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Are you an affiliate of a broker-dealer? </w:t>
            </w:r>
          </w:p>
        </w:tc>
      </w:tr>
      <w:tr>
        <w:trPr/>
        <w:tc>
          <w:tcPr>
            <w:tcW w:w="4407" w:type="dxa"/>
            <w:gridSpan w:val="11"/>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Yes ☐</w:t>
            </w:r>
          </w:p>
        </w:tc>
        <w:tc>
          <w:tcPr>
            <w:tcW w:w="8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2"/>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No ☐</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63" w:type="dxa"/>
            <w:gridSpan w:val="3"/>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w:t>
            </w:r>
          </w:p>
        </w:tc>
        <w:tc>
          <w:tcPr>
            <w:tcW w:w="9681" w:type="dxa"/>
            <w:gridSpan w:val="10"/>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r>
        <w:trPr/>
        <w:tc>
          <w:tcPr>
            <w:tcW w:w="5257" w:type="dxa"/>
            <w:gridSpan w:val="12"/>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Yes ☐</w:t>
            </w:r>
          </w:p>
        </w:tc>
        <w:tc>
          <w:tcPr>
            <w:tcW w:w="8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No ☐</w:t>
            </w:r>
          </w:p>
        </w:tc>
      </w:tr>
      <w:tr>
        <w:trPr/>
        <w:tc>
          <w:tcPr>
            <w:tcW w:w="27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4"/>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Note:</w:t>
            </w:r>
          </w:p>
        </w:tc>
        <w:tc>
          <w:tcPr>
            <w:tcW w:w="9344" w:type="dxa"/>
            <w:gridSpan w:val="8"/>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“no” to Section 3(d), the Commission’s staff has indicated that you should be identified as an underwriter in the Registration Statement.</w:t>
            </w:r>
          </w:p>
        </w:tc>
      </w:tr>
    </w:tbl>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 Beneficial Ownership of Securities of the Company Owned by the Investor.</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Except as set forth below in this Item 4, the undersigned is not the beneficial or registered owner of any securities of the Company other than the securities issuable pursuant to the Purchase Agreement.</w:t>
      </w:r>
    </w:p>
    <w:tbl>
      <w:tblPr>
        <w:tblW w:w="7483" w:type="dxa"/>
        <w:jc w:val="left"/>
        <w:tblInd w:w="0" w:type="dxa"/>
        <w:tblLayout w:type="fixed"/>
        <w:tblCellMar>
          <w:top w:w="28" w:type="dxa"/>
          <w:left w:w="28" w:type="dxa"/>
          <w:bottom w:w="28" w:type="dxa"/>
          <w:right w:w="28" w:type="dxa"/>
        </w:tblCellMar>
      </w:tblPr>
      <w:tblGrid>
        <w:gridCol w:w="161"/>
        <w:gridCol w:w="361"/>
        <w:gridCol w:w="6961"/>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w:t>
            </w:r>
          </w:p>
        </w:tc>
        <w:tc>
          <w:tcPr>
            <w:tcW w:w="696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Type and Amount of other securities beneficially owned by the Investor:</w:t>
            </w:r>
          </w:p>
        </w:tc>
      </w:tr>
      <w:tr>
        <w:trPr/>
        <w:tc>
          <w:tcPr>
            <w:tcW w:w="7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5. Relationships with the Company:</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Except as set forth below, neither the undersigned nor any of its affiliates, officers, directors or principal equity holders (owners of 5% or more of the equity securities of the undersigned) has held any position or office or has had any other material relationship with the Company (or its predecessors or affiliates) during the past three years.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State any exceptions here: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40"/>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undersigned, by authority duly given, has caused this Questionnaire to be executed and delivered either in person or by its duly authorized agent.</w:t>
      </w:r>
    </w:p>
    <w:p>
      <w:pPr>
        <w:pStyle w:val="TextBody"/>
        <w:bidi w:val="0"/>
        <w:spacing w:before="0" w:after="240"/>
        <w:jc w:val="both"/>
        <w:rPr>
          <w:rFonts w:ascii="Times New Roman" w:hAnsi="Times New Roman"/>
          <w:sz w:val="20"/>
        </w:rPr>
      </w:pPr>
      <w:r>
        <w:rPr>
          <w:rFonts w:ascii="Times New Roman" w:hAnsi="Times New Roman"/>
          <w:color w:val="000000"/>
          <w:sz w:val="22"/>
        </w:rPr>
        <w:t>Date:</w:t>
      </w:r>
      <w:r>
        <w:rPr>
          <w:rFonts w:ascii="Times New Roman" w:hAnsi="Times New Roman"/>
          <w:color w:val="000000"/>
          <w:sz w:val="20"/>
          <w:u w:val="single"/>
        </w:rPr>
        <w:t xml:space="preserve"> </w:t>
      </w:r>
      <w:r>
        <w:rPr>
          <w:rFonts w:ascii="Times New Roman" w:hAnsi="Times New Roman"/>
          <w:color w:val="000000"/>
          <w:sz w:val="22"/>
        </w:rPr>
        <w:t>Investor:</w:t>
      </w:r>
    </w:p>
    <w:p>
      <w:pPr>
        <w:pStyle w:val="TextBody"/>
        <w:bidi w:val="0"/>
        <w:spacing w:before="0" w:after="240"/>
        <w:jc w:val="both"/>
        <w:rPr/>
      </w:pPr>
      <w:r>
        <w:rPr/>
        <w:t> </w:t>
      </w:r>
    </w:p>
    <w:p>
      <w:pPr>
        <w:pStyle w:val="TextBody"/>
        <w:bidi w:val="0"/>
        <w:jc w:val="both"/>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p>
    <w:p>
      <w:pPr>
        <w:pStyle w:val="TextBody"/>
        <w:bidi w:val="0"/>
        <w:jc w:val="both"/>
        <w:rPr>
          <w:rFonts w:ascii="Times New Roman" w:hAnsi="Times New Roman"/>
          <w:sz w:val="20"/>
        </w:rPr>
      </w:pPr>
      <w:r>
        <w:rPr>
          <w:rFonts w:ascii="Times New Roman" w:hAnsi="Times New Roman"/>
          <w:color w:val="000000"/>
          <w:sz w:val="22"/>
        </w:rPr>
        <w:t>Name:</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Title:</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sz w:val="22"/>
        </w:rPr>
      </w:pPr>
      <w:r>
        <w:rPr>
          <w:rFonts w:ascii="Times New Roman" w:hAnsi="Times New Roman"/>
          <w:b/>
          <w:color w:val="000000"/>
          <w:sz w:val="22"/>
        </w:rPr>
        <w:t>PLEASE EMAIL A .PDF COPY OF THE COMPLETED AND EXECUTED QUESTIONNAIRE TO:</w:t>
      </w:r>
      <w:r>
        <w:rPr>
          <w:rFonts w:ascii="Times New Roman" w:hAnsi="Times New Roman"/>
          <w:color w:val="000000"/>
          <w:sz w:val="22"/>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bolt-ex10_3.htm"/>
      <w:bookmarkStart w:id="11" w:name="ksboltex10_3"/>
      <w:bookmarkEnd w:id="10"/>
      <w:bookmarkEnd w:id="11"/>
      <w:r>
        <w:rPr/>
        <w:t>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WARRANT TO PURCHASE PREFERRED STOCK OR</w:t>
      </w:r>
      <w:r>
        <w:rPr>
          <w:rFonts w:ascii="Times New Roman" w:hAnsi="Times New Roman"/>
          <w:color w:val="000000"/>
          <w:sz w:val="20"/>
        </w:rPr>
        <w:t xml:space="preserve"> </w:t>
      </w: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BOLT BIOTHERAPEUTICS, INC.</w:t>
      </w:r>
      <w:r>
        <w:rPr>
          <w:rFonts w:ascii="Times New Roman" w:hAnsi="Times New Roman"/>
          <w:color w:val="000000"/>
          <w:sz w:val="20"/>
        </w:rPr>
        <w:t xml:space="preserve"> </w:t>
      </w:r>
    </w:p>
    <w:p>
      <w:pPr>
        <w:pStyle w:val="TextBody"/>
        <w:bidi w:val="0"/>
        <w:spacing w:before="360" w:after="283"/>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Warrant Shares: [  ]           </w:t>
      </w:r>
    </w:p>
    <w:p>
      <w:pPr>
        <w:pStyle w:val="TextBody"/>
        <w:bidi w:val="0"/>
        <w:spacing w:before="360" w:after="283"/>
        <w:jc w:val="right"/>
        <w:rPr>
          <w:rFonts w:ascii="Times New Roman" w:hAnsi="Times New Roman"/>
          <w:color w:val="000000"/>
          <w:sz w:val="20"/>
        </w:rPr>
      </w:pPr>
      <w:r>
        <w:rPr>
          <w:rFonts w:ascii="Times New Roman" w:hAnsi="Times New Roman"/>
          <w:color w:val="000000"/>
          <w:sz w:val="20"/>
        </w:rPr>
        <w:t>Issue Date: October [●], 2026</w:t>
      </w:r>
    </w:p>
    <w:p>
      <w:pPr>
        <w:pStyle w:val="TextBody"/>
        <w:bidi w:val="0"/>
        <w:spacing w:before="240" w:after="283"/>
        <w:jc w:val="left"/>
        <w:rPr>
          <w:rFonts w:ascii="Times New Roman" w:hAnsi="Times New Roman"/>
          <w:sz w:val="20"/>
        </w:rPr>
      </w:pPr>
      <w:r>
        <w:rPr>
          <w:rFonts w:ascii="Times New Roman" w:hAnsi="Times New Roman"/>
          <w:color w:val="000000"/>
          <w:sz w:val="20"/>
        </w:rPr>
        <w:t>THIS WARRANT TO PURCHASE PREFERRED STOCK OR COMMON STOCK (the “</w:t>
      </w:r>
      <w:r>
        <w:rPr>
          <w:rFonts w:ascii="Times New Roman" w:hAnsi="Times New Roman"/>
          <w:color w:val="000000"/>
          <w:sz w:val="20"/>
          <w:u w:val="single"/>
        </w:rPr>
        <w:t>Warrant</w:t>
      </w:r>
      <w:r>
        <w:rPr>
          <w:rFonts w:ascii="Times New Roman" w:hAnsi="Times New Roman"/>
          <w:color w:val="000000"/>
          <w:sz w:val="20"/>
        </w:rPr>
        <w:t>”) certifies that, for value received, [___] or its assigns (the “</w:t>
      </w:r>
      <w:r>
        <w:rPr>
          <w:rFonts w:ascii="Times New Roman" w:hAnsi="Times New Roman"/>
          <w:color w:val="000000"/>
          <w:sz w:val="20"/>
          <w:u w:val="single"/>
        </w:rPr>
        <w:t>Holder</w:t>
      </w:r>
      <w:r>
        <w:rPr>
          <w:rFonts w:ascii="Times New Roman" w:hAnsi="Times New Roman"/>
          <w:color w:val="000000"/>
          <w:sz w:val="20"/>
        </w:rPr>
        <w:t>”) is entitled, upon the terms and subject to the limitations on exercise and the conditions hereinafter set forth, at any time on or after the date of the Automatic Conversion (as defined in the Certificate of Designation) (such date, the “</w:t>
      </w:r>
      <w:r>
        <w:rPr>
          <w:rFonts w:ascii="Times New Roman" w:hAnsi="Times New Roman"/>
          <w:color w:val="000000"/>
          <w:sz w:val="20"/>
          <w:u w:val="single"/>
        </w:rPr>
        <w:t>Initial Exercise Date</w:t>
      </w:r>
      <w:r>
        <w:rPr>
          <w:rFonts w:ascii="Times New Roman" w:hAnsi="Times New Roman"/>
          <w:color w:val="000000"/>
          <w:sz w:val="20"/>
        </w:rPr>
        <w:t>”) and on or prior to 5:00 p.m. (New York City time) on the Termination Date (as defined below), but not thereafter, to subscribe for and purchase from Bolt Biotherapeutics, Inc., a Delaware corporation (the “</w:t>
      </w:r>
      <w:r>
        <w:rPr>
          <w:rFonts w:ascii="Times New Roman" w:hAnsi="Times New Roman"/>
          <w:color w:val="000000"/>
          <w:sz w:val="20"/>
          <w:u w:val="single"/>
        </w:rPr>
        <w:t>Company</w:t>
      </w:r>
      <w:r>
        <w:rPr>
          <w:rFonts w:ascii="Times New Roman" w:hAnsi="Times New Roman"/>
          <w:color w:val="000000"/>
          <w:sz w:val="20"/>
        </w:rPr>
        <w:t>”), up to [    ] shares (as subject to adjustment hereunder, the “</w:t>
      </w:r>
      <w:r>
        <w:rPr>
          <w:rFonts w:ascii="Times New Roman" w:hAnsi="Times New Roman"/>
          <w:color w:val="000000"/>
          <w:sz w:val="20"/>
          <w:u w:val="single"/>
        </w:rPr>
        <w:t>Warrant Common Shares</w:t>
      </w:r>
      <w:r>
        <w:rPr>
          <w:rFonts w:ascii="Times New Roman" w:hAnsi="Times New Roman"/>
          <w:color w:val="000000"/>
          <w:sz w:val="20"/>
        </w:rPr>
        <w:t>”) of Common Stock of the Company or, solely to the extent provided in Section 2(a) or Section 3(d), up to [ ] shares (as subject to adjustment hereunder, the “</w:t>
      </w:r>
      <w:r>
        <w:rPr>
          <w:rFonts w:ascii="Times New Roman" w:hAnsi="Times New Roman"/>
          <w:color w:val="000000"/>
          <w:sz w:val="20"/>
          <w:u w:val="single"/>
        </w:rPr>
        <w:t>Warrant Shares</w:t>
      </w:r>
      <w:r>
        <w:rPr>
          <w:rFonts w:ascii="Times New Roman" w:hAnsi="Times New Roman"/>
          <w:color w:val="000000"/>
          <w:sz w:val="20"/>
        </w:rPr>
        <w:t>”) of Preferred Stock of the Company. Except as otherwise provided in Section 3(d), this Warrant shall not be exercisable prior to the Initial Exercise Date, and no Warrant Common Shares or Warrant Shares shall be issuable hereunder unless and until the Automatic Conversion has occurred. The purchase price of one Warrant Common Share shall be equal to the Common Exercise Price, and the purchase price of one Warrant Share shall be equal to the Preferred Exercise Price, in each case as defined in Section 2(b).</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Section 1</w:t>
      </w:r>
      <w:r>
        <w:rPr>
          <w:rFonts w:ascii="Times New Roman" w:hAnsi="Times New Roman"/>
          <w:color w:val="000000"/>
          <w:sz w:val="20"/>
        </w:rPr>
        <w:t xml:space="preserve">. </w:t>
      </w:r>
      <w:r>
        <w:rPr>
          <w:rFonts w:ascii="Times New Roman" w:hAnsi="Times New Roman"/>
          <w:color w:val="000000"/>
          <w:sz w:val="20"/>
          <w:u w:val="single"/>
        </w:rPr>
        <w:t>Definitions</w:t>
      </w:r>
      <w:r>
        <w:rPr>
          <w:rFonts w:ascii="Times New Roman" w:hAnsi="Times New Roman"/>
          <w:color w:val="000000"/>
          <w:sz w:val="20"/>
        </w:rPr>
        <w:t>. Capitalized terms used and not otherwise defined herein shall have the meanings set forth in that certain Securities Purchase Agreement (the “</w:t>
      </w:r>
      <w:r>
        <w:rPr>
          <w:rFonts w:ascii="Times New Roman" w:hAnsi="Times New Roman"/>
          <w:color w:val="000000"/>
          <w:sz w:val="20"/>
          <w:u w:val="single"/>
        </w:rPr>
        <w:t>Securities Purchase Agreement</w:t>
      </w:r>
      <w:r>
        <w:rPr>
          <w:rFonts w:ascii="Times New Roman" w:hAnsi="Times New Roman"/>
          <w:color w:val="000000"/>
          <w:sz w:val="20"/>
        </w:rPr>
        <w:t>”), dated October 23, 2026, by and among the Company and the investors party thereto, including, without limitation, “Preferred Stock,” “Certificate of Designation,” “Requisite Stockholder Approval,” “Common Stock Equivalents” and “Trading Market.” As used herein, the following terms shall have the following meanings: “</w:t>
      </w:r>
      <w:r>
        <w:rPr>
          <w:rFonts w:ascii="Times New Roman" w:hAnsi="Times New Roman"/>
          <w:color w:val="000000"/>
          <w:sz w:val="20"/>
          <w:u w:val="single"/>
        </w:rPr>
        <w:t>Merger Agreement</w:t>
      </w:r>
      <w:r>
        <w:rPr>
          <w:rFonts w:ascii="Times New Roman" w:hAnsi="Times New Roman"/>
          <w:color w:val="000000"/>
          <w:sz w:val="20"/>
        </w:rPr>
        <w:t>” means that certain Agreement and Plan of Merger, dated as of October 23, 2026, by and among the Company and the other parties thereto. “</w:t>
      </w:r>
      <w:r>
        <w:rPr>
          <w:rFonts w:ascii="Times New Roman" w:hAnsi="Times New Roman"/>
          <w:color w:val="000000"/>
          <w:sz w:val="20"/>
          <w:u w:val="single"/>
        </w:rPr>
        <w:t>Program 2 FIH Data</w:t>
      </w:r>
      <w:r>
        <w:rPr>
          <w:rFonts w:ascii="Times New Roman" w:hAnsi="Times New Roman"/>
          <w:color w:val="000000"/>
          <w:sz w:val="20"/>
        </w:rPr>
        <w:t>” means the Company’s first public disclosure (whether by press release, investor presentation, Current Report on Form 8-K, or other public announcement) of top-line results from the first-in-human clinical data from the Company's Program 2 Phase 1 (IL-31 bispecific), such disclosure to include at least two dosing cohorts from subjects administered subcutaneous single ascending doses (n = approximately 8 per group) with at least 8 weeks post-dose follow up, similar to Phase 1 data previously generated for PRA-216. “</w:t>
      </w:r>
      <w:r>
        <w:rPr>
          <w:rFonts w:ascii="Times New Roman" w:hAnsi="Times New Roman"/>
          <w:color w:val="000000"/>
          <w:sz w:val="20"/>
          <w:u w:val="single"/>
        </w:rPr>
        <w:t>Termination Date</w:t>
      </w:r>
      <w:r>
        <w:rPr>
          <w:rFonts w:ascii="Times New Roman" w:hAnsi="Times New Roman"/>
          <w:color w:val="000000"/>
          <w:sz w:val="20"/>
        </w:rPr>
        <w:t xml:space="preserve">” means the date that is the earlier of thirty (30) days after the date of the Program 2 FIH Data or June 30, 2028.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Section 2</w:t>
      </w:r>
      <w:r>
        <w:rPr>
          <w:rFonts w:ascii="Times New Roman" w:hAnsi="Times New Roman"/>
          <w:color w:val="000000"/>
          <w:sz w:val="20"/>
        </w:rPr>
        <w:t xml:space="preserve">. </w:t>
      </w:r>
      <w:r>
        <w:rPr>
          <w:rFonts w:ascii="Times New Roman" w:hAnsi="Times New Roman"/>
          <w:color w:val="000000"/>
          <w:sz w:val="20"/>
          <w:u w:val="single"/>
        </w:rPr>
        <w:t>Exercise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Exercise of Warrant</w:t>
      </w:r>
      <w:r>
        <w:rPr>
          <w:rFonts w:ascii="Times New Roman" w:hAnsi="Times New Roman"/>
          <w:color w:val="000000"/>
          <w:sz w:val="20"/>
        </w:rPr>
        <w:t xml:space="preserve">. Exercise of the purchase rights represented by this Warrant may be made, in whole or in part, subject to </w:t>
      </w:r>
      <w:r>
        <w:rPr>
          <w:rFonts w:ascii="Times New Roman" w:hAnsi="Times New Roman"/>
          <w:color w:val="000000"/>
          <w:sz w:val="20"/>
          <w:u w:val="single"/>
        </w:rPr>
        <w:t>Section 3(d)</w:t>
      </w:r>
      <w:r>
        <w:rPr>
          <w:rFonts w:ascii="Times New Roman" w:hAnsi="Times New Roman"/>
          <w:color w:val="000000"/>
          <w:sz w:val="20"/>
        </w:rPr>
        <w:t>, at any time or times on or after the Initial Exercise Date and on or before the Termination Date by delivery to the Company of a duly executed copy submitted by email (or email attachment) of the Notice of Exercise in the form annexed hereto (the “</w:t>
      </w:r>
      <w:r>
        <w:rPr>
          <w:rFonts w:ascii="Times New Roman" w:hAnsi="Times New Roman"/>
          <w:color w:val="000000"/>
          <w:sz w:val="20"/>
          <w:u w:val="single"/>
        </w:rPr>
        <w:t>Notice of Exercise</w:t>
      </w:r>
      <w:r>
        <w:rPr>
          <w:rFonts w:ascii="Times New Roman" w:hAnsi="Times New Roman"/>
          <w:color w:val="000000"/>
          <w:sz w:val="20"/>
        </w:rPr>
        <w:t xml:space="preserve">”), together with payment of the aggregate Exercise Price for the Warrant Common Shares specified in the applicable Notice of Exercise by wire transfer of immediately available funds to an account designated by the Company, in each case within one Trading Day following the date of exercise;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event that the limitations set forth in Section 2(d) restrict the exercise of this Warrant for Warrant Common Shares, this Warrant may instead be exercised for Warrant Shares of Preferred Stock by delivery of a Notice of Exercise, completed and duly signed, and payment of the aggregate Exercise Price for such Warrant Shares in accordance with this Section 2(a).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and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Warrant Common Shares available hereunder and the Warrant has been exercised in full, in which case, the Holder shall surrender this Warrant to the Company for cancellation within three Trading Days of the date on which the final Notice of Exercise is delivered to the Company. Partial exercises of this Warrant resulting in purchases of a portion of the total number of Warrant Shares or Warrant Common Shares available hereunder shall have the effect of lowering the outstanding number of Warrant Shares or Warrant Common Shares, as applicable, purchasable hereunder in an amount equal to the number of Warrant Shares or Warrant Common Shares so purchased. The Holder and the Company shall maintain records showing the number of Warrant Shares and Warrant Common Shares purchased and the date of such purchases. The Company shall deliver any objection to any Notice of Exercise on the Trading Day of receipt of such notice. </w:t>
      </w:r>
      <w:r>
        <w:rPr>
          <w:rFonts w:ascii="Times New Roman" w:hAnsi="Times New Roman"/>
          <w:b/>
          <w:color w:val="000000"/>
          <w:sz w:val="20"/>
        </w:rPr>
        <w:t>The Holder and any assignee, by acceptance of this Warrant, acknowledge and agree that, by reason of the provisions of this paragraph, following the purchase of a portion of the Warrant Shares or Warrant Common Shares hereunder, the number of Warrant Shares or Warrant Common Shares available for purchase hereunder at any given time may be less than the amount stated on the face hereof.</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Exercise Price</w:t>
      </w:r>
      <w:r>
        <w:rPr>
          <w:rFonts w:ascii="Times New Roman" w:hAnsi="Times New Roman"/>
          <w:color w:val="000000"/>
          <w:sz w:val="20"/>
        </w:rPr>
        <w:t>. The exercise price per Warrant Share of Preferred Stock under this Warrant shall be equal to the Share Price (as defined in the Securities Purchase Agreement) (the “</w:t>
      </w:r>
      <w:r>
        <w:rPr>
          <w:rFonts w:ascii="Times New Roman" w:hAnsi="Times New Roman"/>
          <w:color w:val="000000"/>
          <w:sz w:val="20"/>
          <w:u w:val="single"/>
        </w:rPr>
        <w:t xml:space="preserve">Preferred Exercise </w:t>
      </w:r>
      <w:r>
        <w:rPr>
          <w:rFonts w:ascii="Times New Roman" w:hAnsi="Times New Roman"/>
          <w:color w:val="000000"/>
          <w:sz w:val="20"/>
        </w:rPr>
        <w:t>Price”), and the exercise price per Warrant Common Share of Common Stock under this Warrant shall be equal to the Share Price (as defined in the Securities Purchase Agreement) divided by 1,000 (the “</w:t>
      </w:r>
      <w:r>
        <w:rPr>
          <w:rFonts w:ascii="Times New Roman" w:hAnsi="Times New Roman"/>
          <w:color w:val="000000"/>
          <w:sz w:val="20"/>
          <w:u w:val="single"/>
        </w:rPr>
        <w:t>Common Exercise Price</w:t>
      </w:r>
      <w:r>
        <w:rPr>
          <w:rFonts w:ascii="Times New Roman" w:hAnsi="Times New Roman"/>
          <w:color w:val="000000"/>
          <w:sz w:val="20"/>
        </w:rPr>
        <w:t>” and, together with the Preferred Exercise Price, each an “</w:t>
      </w:r>
      <w:r>
        <w:rPr>
          <w:rFonts w:ascii="Times New Roman" w:hAnsi="Times New Roman"/>
          <w:color w:val="000000"/>
          <w:sz w:val="20"/>
          <w:u w:val="single"/>
        </w:rPr>
        <w:t>Exercise Price</w:t>
      </w:r>
      <w:r>
        <w:rPr>
          <w:rFonts w:ascii="Times New Roman" w:hAnsi="Times New Roman"/>
          <w:color w:val="000000"/>
          <w:sz w:val="20"/>
        </w:rPr>
        <w:t xml:space="preserve">”), in each case subject to adjustment hereunder.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Mechanics of Exercise</w:t>
      </w:r>
      <w:r>
        <w:rPr>
          <w:rFonts w:ascii="Times New Roman" w:hAnsi="Times New Roman"/>
          <w:color w:val="000000"/>
          <w:sz w:val="20"/>
        </w:rPr>
        <w:t>.</w:t>
      </w:r>
    </w:p>
    <w:p>
      <w:pPr>
        <w:pStyle w:val="TextBody"/>
        <w:bidi w:val="0"/>
        <w:spacing w:lineRule="auto" w:line="360" w:before="120" w:after="120"/>
        <w:jc w:val="left"/>
        <w:rPr>
          <w:rFonts w:ascii="Times New Roman" w:hAnsi="Times New Roman"/>
          <w:sz w:val="13"/>
        </w:rPr>
      </w:pPr>
      <w:r>
        <w:rPr>
          <w:rFonts w:ascii="Times New Roman" w:hAnsi="Times New Roman"/>
          <w:color w:val="000000"/>
          <w:sz w:val="20"/>
        </w:rPr>
        <w:t xml:space="preserve">i. </w:t>
      </w:r>
      <w:r>
        <w:rPr>
          <w:rFonts w:ascii="Times New Roman" w:hAnsi="Times New Roman"/>
          <w:color w:val="000000"/>
          <w:sz w:val="20"/>
          <w:u w:val="single"/>
        </w:rPr>
        <w:t>Delivery of Warrant Shares and Warrant Common Shares Upon Exercise</w:t>
      </w:r>
      <w:r>
        <w:rPr>
          <w:rFonts w:ascii="Times New Roman" w:hAnsi="Times New Roman"/>
          <w:color w:val="000000"/>
          <w:sz w:val="20"/>
        </w:rPr>
        <w:t>. Upon exercise of this Warrant for Warrant Common Shares, the Company shall cause the Warrant Common Shares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0"/>
          <w:u w:val="single"/>
        </w:rPr>
        <w:t>DWAC</w:t>
      </w:r>
      <w:r>
        <w:rPr>
          <w:rFonts w:ascii="Times New Roman" w:hAnsi="Times New Roman"/>
          <w:color w:val="000000"/>
          <w:sz w:val="13"/>
        </w:rPr>
        <w:t>”</w:t>
      </w:r>
      <w:r>
        <w:rPr>
          <w:rFonts w:ascii="Times New Roman" w:hAnsi="Times New Roman"/>
          <w:color w:val="000000"/>
          <w:sz w:val="20"/>
        </w:rPr>
        <w:t>) if the Company is then a participant in such system, and otherwise by physical delivery of a certificate, registered in the Company’s share register in the name of the Holder or its designee. Upon exercise of this Warrant for Warrant Shares (which may only occur pursuant to the fallback set forth in Section 2(a) or pursuant to Section 3(d)), the Company shall issue such Warrant Shares in the name of the Holder or its designee in book-entry form on the Company’s share register maintained by the Transfer Agent, or by physical delivery of a certificate, registered in the Company’s share register in the name of the Holder or its designee, for the number of Warrant Shares to which the Holder is entitled pursuant to such exercise. In each case, delivery shall be made to the address specified by the Holder in the Notice of Exercise by the date that is no later than the second (2</w:t>
      </w:r>
      <w:r>
        <w:rPr>
          <w:rFonts w:ascii="Times New Roman" w:hAnsi="Times New Roman"/>
          <w:color w:val="000000"/>
          <w:sz w:val="13"/>
        </w:rPr>
        <w:t>nd</w:t>
      </w:r>
      <w:r>
        <w:rPr>
          <w:rFonts w:ascii="Times New Roman" w:hAnsi="Times New Roman"/>
          <w:color w:val="000000"/>
          <w:sz w:val="20"/>
        </w:rPr>
        <w:t>) Trading Day after the later of (i) the delivery to the Company of the Notice of Exercise and (ii) delivery of the aggregate Exercise Price to the Company (such date, the “</w:t>
      </w:r>
      <w:r>
        <w:rPr>
          <w:rFonts w:ascii="Times New Roman" w:hAnsi="Times New Roman"/>
          <w:color w:val="000000"/>
          <w:sz w:val="20"/>
          <w:u w:val="single"/>
        </w:rPr>
        <w:t>Warrant Share Delivery Date</w:t>
      </w:r>
      <w:r>
        <w:rPr>
          <w:rFonts w:ascii="Times New Roman" w:hAnsi="Times New Roman"/>
          <w:color w:val="000000"/>
          <w:sz w:val="13"/>
        </w:rPr>
        <w:t>”</w:t>
      </w:r>
      <w:r>
        <w:rPr>
          <w:rFonts w:ascii="Times New Roman" w:hAnsi="Times New Roman"/>
          <w:color w:val="000000"/>
          <w:sz w:val="20"/>
        </w:rPr>
        <w:t>). Upon delivery of the Notice of Exercise and payment of the aggregate Exercise Price, the Holder shall be deemed for all corporate purposes to have become the holder of record of the Warrant Shares or Warrant Common Shares, as applicable, with respect to which this Warrant has been exercised, irrespective of the date of delivery of the Warrant Shares or Warrant Common Shares. If the Company fails to deliver to the Holder the Warrant Shares or Warrant Common Shares subject to a Notice of Exercise by the Warrant Share Delivery Date, and such failure continues for five (5) Trading Days after the Company’s receipt of written notice thereof from the Holder (the “</w:t>
      </w:r>
      <w:r>
        <w:rPr>
          <w:rFonts w:ascii="Times New Roman" w:hAnsi="Times New Roman"/>
          <w:color w:val="000000"/>
          <w:sz w:val="20"/>
          <w:u w:val="single"/>
        </w:rPr>
        <w:t>Cure Period</w:t>
      </w:r>
      <w:r>
        <w:rPr>
          <w:rFonts w:ascii="Times New Roman" w:hAnsi="Times New Roman"/>
          <w:color w:val="000000"/>
          <w:sz w:val="13"/>
        </w:rPr>
        <w:t>”</w:t>
      </w:r>
      <w:r>
        <w:rPr>
          <w:rFonts w:ascii="Times New Roman" w:hAnsi="Times New Roman"/>
          <w:color w:val="000000"/>
          <w:sz w:val="20"/>
        </w:rPr>
        <w:t>), then, for any such failure that is not cured within the Cure Period and that did not result solely from (x) an act or omission of the Transfer Agent, DTC or other third-party service provider that is outside of the Company’s reasonable control and that the Company is using commercially reasonable efforts to remedy, or (y) a legal or regulatory restriction applicable to the Company or the Warrant Shares or Warrant Common Shares, the Company shall pay to the Holder, in cash, as liquidated damages and not as a penalty, for each thirty (30) day period after the expiration of the Cure Period until such Warrant Shares or Warrant Common Shares are delivered, an amount equal to (prorated for any partial period) one half of one percent (0.50%) of the product of (I) the number of Warrant Shares or Warrant Common Shares subject to such exercise that have not been delivered and (II) the applicable Exercise Price. The Company agrees to maintain a transfer agent (the “</w:t>
      </w:r>
      <w:r>
        <w:rPr>
          <w:rFonts w:ascii="Times New Roman" w:hAnsi="Times New Roman"/>
          <w:color w:val="000000"/>
          <w:sz w:val="20"/>
          <w:u w:val="single"/>
        </w:rPr>
        <w:t>Transfer Agent</w:t>
      </w:r>
      <w:r>
        <w:rPr>
          <w:rFonts w:ascii="Times New Roman" w:hAnsi="Times New Roman"/>
          <w:color w:val="000000"/>
          <w:sz w:val="13"/>
        </w:rPr>
        <w:t>”</w:t>
      </w:r>
      <w:r>
        <w:rPr>
          <w:rFonts w:ascii="Times New Roman" w:hAnsi="Times New Roman"/>
          <w:color w:val="000000"/>
          <w:sz w:val="20"/>
        </w:rPr>
        <w:t>) that is a participant in the FAST program so long as this Warrant remains outstanding and exercisable.</w:t>
      </w:r>
      <w:r>
        <w:rPr>
          <w:rFonts w:ascii="Times New Roman" w:hAnsi="Times New Roman"/>
          <w:color w:val="000000"/>
          <w:sz w:val="13"/>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Delivery of New Warrants Upon Exercise</w:t>
      </w:r>
      <w:r>
        <w:rPr>
          <w:rFonts w:ascii="Times New Roman" w:hAnsi="Times New Roman"/>
          <w:color w:val="000000"/>
          <w:sz w:val="20"/>
        </w:rPr>
        <w:t xml:space="preserve">. If this Warrant shall have been exercised in part, the Company shall, at the request of a Holder and upon surrender of this Warrant certificate, at the time of delivery of the Warrant Shares or Warrant Common Shares, deliver to the Holder a new Warrant evidencing the rights of the Holder to purchase the unpurchased Warrant Shares and Warrant Common Shares called for by this Warrant, which new Warrant shall in all other respects be identical with this Warrant.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No Fractional Shares or Scrip</w:t>
      </w:r>
      <w:r>
        <w:rPr>
          <w:rFonts w:ascii="Times New Roman" w:hAnsi="Times New Roman"/>
          <w:color w:val="000000"/>
          <w:sz w:val="20"/>
        </w:rPr>
        <w:t xml:space="preserve">. No fractional shares or scrip representing fractional shares shall be issued upon the exercise of this Warrant. As to any fraction of a share which the Holder would otherwise be entitled to purchase upon such exercise, the number of Warrant Shares or Warrant Common Shares, as applicable, to be issued shall be rounded down to the nearest whole number and the Company shall, at its election, either pay a cash adjustment in respect of such final fraction in an amount equal to such fraction multiplied by the applicable Exercise Price or round up to the next whole share.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Charges, Taxes and Expenses</w:t>
      </w:r>
      <w:r>
        <w:rPr>
          <w:rFonts w:ascii="Times New Roman" w:hAnsi="Times New Roman"/>
          <w:color w:val="000000"/>
          <w:sz w:val="20"/>
        </w:rPr>
        <w:t xml:space="preserve">. Issuance and delivery of Warrant Shares or Warrant Common Shares shall be made without charge to the Holder for any issue or transfer tax or other incidental expense in respect of the issuance of such Warrant Shares or Warrant Common Shares, all of which taxes and expenses shall be paid by the Company, and such Warrant Shares or Warrant Common Shares shall be issued in the name of the Holder or in such name or names as may be directed by the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in the event that Warrant Shares or Warrant Common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Common Shares. Subject to the foregoing, the Holder shall be responsible for all other tax liability that may arise as a result of holding or transferring this Warrant or receiving Warrant Shares or Warrant Common Shares upon exercise hereof, including any United States withholding taxes imposed on any dividends or deemed dividends, and the Company shall be entitled to withhold such tax liability from shares of Preferred Stock or Common Stock, sales proceeds subsequently paid or credited, or other amounts payable or distributable to the relevant Holder as required by applicable law.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Beneficial Ownership Limitation</w:t>
      </w:r>
      <w:r>
        <w:rPr>
          <w:rFonts w:ascii="Times New Roman" w:hAnsi="Times New Roman"/>
          <w:color w:val="000000"/>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 w:hAnsi="Times New Roman"/>
          <w:color w:val="000000"/>
          <w:sz w:val="20"/>
          <w:u w:val="single"/>
        </w:rPr>
        <w:t>Attribution Parties</w:t>
      </w:r>
      <w:r>
        <w:rPr>
          <w:rFonts w:ascii="Times New Roman" w:hAnsi="Times New Roman"/>
          <w:color w:val="000000"/>
          <w:sz w:val="20"/>
        </w:rPr>
        <w:t xml:space="preserve">”)), would beneficially own in excess of the Beneficial Ownership Limitation (as defined below) of the number of shares of Common Stock outstanding immediately after giving effect to such exercise for Warrant Common Shares, or, solely with respect to an exercise for Warrant Shares pursuant to the fallback set forth in Section 2(a), of the number of shares of Preferred Stock outstanding immediately after giving effect to such exercise, as applicable. For purposes of the foregoing sentence, the number of shares of Common Stock or Preferred Stock, as applicable, beneficially owned by the Holder and its Affiliates and Attribution Parties shall include the number of Warrant Shares or Warrant Common Shares issuable upon exercise of this Warrant with respect to which such determination is being made, but shall exclude the number of Warrant Shares or Warrant Common Shares which would be issuable upon exercise of the remaining, nonexercised portion of this Warrant beneficially owned by the Holder or any of its Affiliates or Attribution Parties, and upon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2(d)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(other than to the extent that the information on the number of outstanding shares of Common Stock or Preferred Stock, as applicable, is provided by the Company, either directly or through one or more public filings relied upon by the Holder). In addition, a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determination as to any group status as contemplated above shall be determined in accordance with Section 13(d) of the Exchange Act and the rules and regulations promulgated thereunder. In determining the number of outstanding shares of Common Stock or Preferred Stock, as applicable, a Holder may rely on the number of outstanding shares as reflected in (A) the Company’s most recent periodic or annual report filed with the SEC, as the case may be, (B) a more recent public announcement by the Company or (C) a more recent written notice by the Company or the Transfer Agent setting forth the number of shares outstanding. Upon the written or oral request of a Holder, the Company shall within one Trading Day confirm orally and in writing to the Holder the number of shares of Common Stock or Preferred Stock, as applicable, then outstanding. In any case, the number of outstanding shares shall be determined after giving effect to the conversion or exercise of securities of the Company, including this Warrant, by the Holder or its Affiliates or Attribution Parties since the date as of which such number of outstanding shares was reported. The “</w:t>
      </w:r>
      <w:r>
        <w:rPr>
          <w:rFonts w:ascii="Times New Roman" w:hAnsi="Times New Roman"/>
          <w:color w:val="000000"/>
          <w:sz w:val="20"/>
          <w:u w:val="single"/>
        </w:rPr>
        <w:t>Beneficial Ownership Limitation</w:t>
      </w:r>
      <w:r>
        <w:rPr>
          <w:rFonts w:ascii="Times New Roman" w:hAnsi="Times New Roman"/>
          <w:color w:val="000000"/>
          <w:sz w:val="20"/>
        </w:rPr>
        <w:t>” applicable to the Holder’s exercise of this Warrant is, and at all times shall remain, the same Beneficial Ownership Limitation applicable to such Holder’s shares of Series D Non-Voting Preferred Stock under Section 6.4 of the Certificate of Designation, as designated by the Holder (or, if applicable, the Holder’s predecessor in interest as an original Investor) on its signature page to the Securities Purchase Agreement, or otherwise in accordance with Section 6.4 of the Certificate of Designation or Section 5.10 of the Securities Purchase Agreement, and as the same may be increased or decreased from time to time solely in accordance with the notice and timing provisions of Section 6.4 of the Certificate of Designation (and not pursuant to any separate notice to, or election or mechanism of, the Company under this Warrant). This Section 2(d) shall not restrict the number of shares of Preferred Stock or Common Stock which the Holder may receive or beneficially own in order to determine the amount of securities or other consideration that the Holder may receive in the event of a Fundamental Transaction as contemplated in Section 3(d). The provisions of this Section 2(d) shall be construed and implemented in a manner otherwise than in strict conformity with the terms of this Section 2(d) to correct this Section 2(d) (or any portion hereof) which may be defective or inconsistent with the intended Beneficial Ownership Limitation herein contained or to make changes or supplements necessary or desirable to properly give effect to such limitation, provided that no such correction may result in the Beneficial Ownership Limitation applicable to this Warrant differing from the Beneficial Ownership Limitation applicable to the Holder under Section 6.4 of the Certificate of Designation. The limitations contained in this Section 2(d) shall apply to a successor holder of this Warrant.</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Section 3</w:t>
      </w:r>
      <w:r>
        <w:rPr>
          <w:rFonts w:ascii="Times New Roman" w:hAnsi="Times New Roman"/>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Stock Dividends and Splits</w:t>
      </w:r>
      <w:r>
        <w:rPr>
          <w:rFonts w:ascii="Times New Roman" w:hAnsi="Times New Roman"/>
          <w:color w:val="000000"/>
          <w:sz w:val="20"/>
        </w:rPr>
        <w:t xml:space="preserve">. If the Company, at any time while this Warrant is outstanding: (i) pays a stock dividend or otherwise makes a distribution or distributions on shares of its Preferred Stock or Common Stock or any other equity or equity equivalent securities payable in shares of Preferred Stock or Common Stock, respectively (which, for avoidance of doubt, shall not include any Warrant Shares or Warrant Common Shares issued by the Company upon exercise of this Warrant), (ii) subdivides outstanding shares of Preferred Stock or Common Stock into a larger number of shares of Preferred Stock or Common Stock, respectively, (iii) combines (including by way of reverse stock split) outstanding shares of Preferred Stock or Common Stock into a smaller number of shares of Preferred Stock or Common Stock, respectively, or (iv) issues by reclassification of shares of the Preferred Stock or Common Stock any shares of capital stock of the Company, then in each case the Preferred Exercise Price or Common Exercise Price, as applicable, shall be multiplied by a fraction of which the numerator shall be the number of shares of Preferred Stock or Common Stock (excluding treasury shares, if any), as applicable, outstanding immediately before such event and of which the denominator shall be the number of shares of Preferred Stock or Common Stock, as applicable, outstanding immediately after such event, and the number of Warrant Shares or Warrant Common Shares issuable upon exercise of this Warrant shall be proportionately adjusted such that the aggregate Preferred Exercise Price or Common Exercise Price, as applicable,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Subsequent Rights Offerings</w:t>
      </w:r>
      <w:r>
        <w:rPr>
          <w:rFonts w:ascii="Times New Roman" w:hAnsi="Times New Roman"/>
          <w:color w:val="000000"/>
          <w:sz w:val="20"/>
        </w:rPr>
        <w:t>. In addition to any adjustments pursuant to Section 3(a) above, if at any time the Company grants, issues or sells any Common Stock Equivalents or rights to purchase stock, warrants, securities or other property pro rata to all (or substantially all) of the record holders of any class of shares of Preferred Stock or Common Stock (the “</w:t>
      </w:r>
      <w:r>
        <w:rPr>
          <w:rFonts w:ascii="Times New Roman" w:hAnsi="Times New Roman"/>
          <w:color w:val="000000"/>
          <w:sz w:val="20"/>
          <w:u w:val="single"/>
        </w:rPr>
        <w:t>Purchase Rights</w:t>
      </w:r>
      <w:r>
        <w:rPr>
          <w:rFonts w:ascii="Times New Roman" w:hAnsi="Times New Roman"/>
          <w:color w:val="000000"/>
          <w:sz w:val="20"/>
        </w:rPr>
        <w:t xml:space="preserve">”), then the Holder will be entitled to acquire, upon the terms applicable to such Purchase Rights, the aggregate Purchase Rights which the Holder could have acquired if the Holder had held the number of shares of Preferred Stock or Common Stock acquirable upon complete exercise of this Warrant (without regard to any limitations on exercise hereof, including without limitation, the Beneficial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Ownership Limitation) immediately before the date on which a record is taken for the grant, issuance or sale of such Purchase Rights, or, if no such record is taken, the date as of which the record holders of shares of Preferred Stock or Common Stock are to be determined for the grant, issue or sale of such Purchase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Pro Rata Distributions</w:t>
      </w:r>
      <w:r>
        <w:rPr>
          <w:rFonts w:ascii="Times New Roman" w:hAnsi="Times New Roman"/>
          <w:color w:val="000000"/>
          <w:sz w:val="20"/>
        </w:rPr>
        <w:t>. During such time as this Warrant is outstanding, if the Company shall declare or make any dividend or other distribution of its assets (or rights to acquire its assets) to holders of shares of Preferred Stock or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dividends or distributions subject to Section 3(a) above (a “</w:t>
      </w:r>
      <w:r>
        <w:rPr>
          <w:rFonts w:ascii="Times New Roman" w:hAnsi="Times New Roman"/>
          <w:color w:val="000000"/>
          <w:sz w:val="20"/>
          <w:u w:val="single"/>
        </w:rPr>
        <w:t>Distribution</w:t>
      </w:r>
      <w:r>
        <w:rPr>
          <w:rFonts w:ascii="Times New Roman" w:hAnsi="Times New Roman"/>
          <w:color w:val="000000"/>
          <w:sz w:val="20"/>
        </w:rPr>
        <w:t>”), or other than a reclassification to which Section 3(d) applies, then at any time after the issuance of this Warrant, then, in each such case, the Holder shall be entitled to participate in such Distribution to the same extent that the Holder would have participated therein if the Holder had held the number of shares of Preferred Stock or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Preferred Stock or Common Stock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Fundamental Transaction</w:t>
      </w:r>
      <w:r>
        <w:rPr>
          <w:rFonts w:ascii="Times New Roman" w:hAnsi="Times New Roman"/>
          <w:color w:val="000000"/>
          <w:sz w:val="20"/>
        </w:rPr>
        <w:t>. If, at any time while this Warrant is outstanding and on or after the date of the Program 2 FIH Data, (i) the Company effects any merger or consolidation of the Company with or into another Person, in which the stockholders of the Company immediately prior to such merger or consolidation do not own, directly or indirectly, at least 50% of the voting power of the surviving entity immediately after such merger or consolidation (excluding, for the avoidance of doubt, the transactions contemplated by the Merger Agreement and the Securities Purchase Agreement), (ii) the Company effects any sale to another Person of all or substantially all of its assets in one or a series of related transactions, (iii) pursuant to any tender offer or exchange offer approved by the Company’s board of directors (whether by the Company or another Person), holders of capital stock tender shares representing more than 50% of the voting power of the capital stock of the Company and the Company or such other Person, as applicable, accepts such tender for payment, or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(excluding, for the avoidance of doubt, the transactions contemplated by the Merger Agreement and the Securities Purchase Agreement) (in any such case, a “</w:t>
      </w:r>
      <w:r>
        <w:rPr>
          <w:rFonts w:ascii="Times New Roman" w:hAnsi="Times New Roman"/>
          <w:color w:val="000000"/>
          <w:sz w:val="20"/>
          <w:u w:val="single"/>
        </w:rPr>
        <w:t>Fundamental Transaction</w:t>
      </w:r>
      <w:r>
        <w:rPr>
          <w:rFonts w:ascii="Times New Roman" w:hAnsi="Times New Roman"/>
          <w:color w:val="000000"/>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w:t>
      </w:r>
      <w:r>
        <w:rPr>
          <w:rFonts w:ascii="Times New Roman" w:hAnsi="Times New Roman"/>
          <w:color w:val="000000"/>
          <w:sz w:val="20"/>
          <w:u w:val="single"/>
        </w:rPr>
        <w:t xml:space="preserve"> </w:t>
      </w:r>
      <w:r>
        <w:rPr>
          <w:rFonts w:ascii="Times New Roman" w:hAnsi="Times New Roman"/>
          <w:color w:val="000000"/>
          <w:sz w:val="20"/>
        </w:rPr>
        <w:t>the holder of the number of Warrant Shares or Warrant Common Shares (as applicable) then issuable upon exercise in full of this Warrant (without regard to any limitations on exercise contained herein, including without limitation the Beneficial Ownership Limitation) (the “</w:t>
      </w:r>
      <w:r>
        <w:rPr>
          <w:rFonts w:ascii="Times New Roman" w:hAnsi="Times New Roman"/>
          <w:color w:val="000000"/>
          <w:sz w:val="20"/>
          <w:u w:val="single"/>
        </w:rPr>
        <w:t>Alternate Consideration</w:t>
      </w:r>
      <w:r>
        <w:rPr>
          <w:rFonts w:ascii="Times New Roman" w:hAnsi="Times New Roman"/>
          <w:color w:val="000000"/>
          <w:sz w:val="20"/>
        </w:rPr>
        <w:t xml:space="preserve">”). Notwithstanding the foregoing, if a Fundamental Transaction is consummated prior to the date of the Program 2 FIH Data, this Warrant shall automatically terminate and be of no further force or effect upon the consummation of such Fundamental Transaction, without any payment of consideration (including Alternate Consideration) to the Holder and without any obligation on the part of the Company or any Successor Entity to assume this Warrant; </w:t>
      </w:r>
      <w:r>
        <w:rPr>
          <w:rFonts w:ascii="Times New Roman" w:hAnsi="Times New Roman"/>
          <w:color w:val="000000"/>
          <w:sz w:val="20"/>
          <w:u w:val="single"/>
        </w:rPr>
        <w:t>provided</w:t>
      </w:r>
      <w:r>
        <w:rPr>
          <w:rFonts w:ascii="Times New Roman" w:hAnsi="Times New Roman"/>
          <w:color w:val="000000"/>
          <w:sz w:val="20"/>
        </w:rPr>
        <w:t xml:space="preserve">, that, notwithstanding the Initial Exercise Date set forth in the first paragraph of this Warrant, if a Fundamental Transaction is consummated prior to the Initial Exercise Date, the Holder shall be entitled to exercise this Warrant (for Warrant Common Shares or, if the Automatic Conversion has not yet taken place, for Warrant Shares consistent with the provisions of Section 2,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mutatis mutandis</w:t>
      </w:r>
      <w:r>
        <w:rPr>
          <w:rFonts w:ascii="Times New Roman" w:hAnsi="Times New Roman"/>
          <w:color w:val="000000"/>
          <w:sz w:val="20"/>
        </w:rPr>
        <w:t>) at any time up to two (2) Business Days prior to the consummation of such Fundamental Transaction. The Company shall give the Holder at least ten (10) Business Days’ prior notice of the anticipated closing date of any such Fundamental Transaction. If holders of shares of Preferred Stock or Common Stock (as applicable) are given any choice as to the securities, cash or property to be received in a Fundamental Transaction that is within the Company’s control, including approval by its Board of Directors,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color w:val="000000"/>
          <w:sz w:val="20"/>
          <w:u w:val="single"/>
        </w:rPr>
        <w:t>Successor Entity</w:t>
      </w:r>
      <w:r>
        <w:rPr>
          <w:rFonts w:ascii="Times New Roman" w:hAnsi="Times New Roman"/>
          <w:color w:val="000000"/>
          <w:sz w:val="20"/>
        </w:rPr>
        <w:t xml:space="preserve">”) to assume in writing all of the obligations of the Company under this Warrant and the other Transaction Documents in accordance with the provisions of this Section 3(d) pursuant to written agreements in form and substance reasonably satisfactory to the Holder prior to the consummation of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or Warrant Common Shares acquirable and receivable upon exercise of this Warrant (without regard to any limitations on the exercise of this Warrant) prior to such Fundamental Transaction, and with an exercise price which applies the applicable Exercise Price hereunder to such shares of capital stock (but taking into account the relative value of the Preferred Stock or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whether the Company has sufficient authorized shares of Preferred Stock or Common Stock for the issuance of Warrant Shares or Warrant Common Shares.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Calculations</w:t>
      </w:r>
      <w:r>
        <w:rPr>
          <w:rFonts w:ascii="Times New Roman" w:hAnsi="Times New Roman"/>
          <w:color w:val="000000"/>
          <w:sz w:val="20"/>
        </w:rPr>
        <w:t xml:space="preserve">. All calculations under this Section 3 shall be made to the nearest cent or the nearest 1/100th of a share, as the case may be. For purposes of this Section 3, the number of shares of Preferred Stock or Common Stock, as applicable, deemed to be issued and outstanding as of a given date shall be the sum of the number of shares of Preferred Stock or Common Stock (excluding treasury shares, if any), as applicable, issued and outstanding.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Notice to Holder</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Adjustment to Exercise Price</w:t>
      </w:r>
      <w:r>
        <w:rPr>
          <w:rFonts w:ascii="Times New Roman" w:hAnsi="Times New Roman"/>
          <w:color w:val="000000"/>
          <w:sz w:val="20"/>
        </w:rPr>
        <w:t xml:space="preserve">. Whenever the Preferred Exercise Price or Common Exercise Price is adjusted pursuant to any provision of this Section 3, the Company shall promptly deliver to the Holder by email a notice setting forth the Exercise Price so adjusted and any resulting adjustment to the number of Warrant Shares or Warrant Common Shares, as applicable, and setting forth a brief statement of the facts requiring such adjustment.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Notice to Allow Exercise by Holder</w:t>
      </w:r>
      <w:r>
        <w:rPr>
          <w:rFonts w:ascii="Times New Roman" w:hAnsi="Times New Roman"/>
          <w:color w:val="000000"/>
          <w:sz w:val="20"/>
        </w:rPr>
        <w:t xml:space="preserve">. If (A) the Company shall declare a dividend (or any other distribution in whatever form) on the Preferred Stock or Common Stock, (B) the Company shall declare a special nonrecurring cash dividend on or a redemption of the Preferred Stock or Common Stock, (C) the Company shall authorize the granting to all holders of the Preferred Stock or Common Stock rights or warrants to subscribe for or purchase any shares of capital stock of any class or of any rights, (D) the approval of any stockholders of the Company shall be required in connection with a Fundamental Transaction, any reclassification of the Common Stock, any consolidation or merger to which the Company (or any of its subsidiaries)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(unless such information is filed with the SEC, in which case a notice shall not be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required) stating (x) the date on which a record is to be taken for the purpose of such dividend, distribution, redemption, rights or warrants, or if a record is not to be taken, the date as of which the holders of the Preferred Stock or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In addition, if while this Warrant is outstanding, the Company authorizes or approves, enters into any agreement contemplating or solicits stockholder approval for any Fundamental Transaction contemplated by Section 3(d), other than a Fundamental Transaction under clause (iii) of Section 3(d), the Company shall deliver to the Holder a notice of such Fundamental Transaction at least ten (10) Business Days prior to the date such Fundamental Transaction is anticipated to be consummated. To the extent that any notice provided in this Warrant constitutes, or contains, material, non-public information regarding the Company or any of the subsidiaries, the Company shall simultaneously file such notice with the SEC pursuant to a Current Report on Form 8-K. The Holder shall remain entitled to exercise this Warrant during the period commencing on the date of such notice to the effective date of the event triggering such notice except as may otherwise be expressly set forth herein.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Section 4</w:t>
      </w:r>
      <w:r>
        <w:rPr>
          <w:rFonts w:ascii="Times New Roman" w:hAnsi="Times New Roman"/>
          <w:color w:val="000000"/>
          <w:sz w:val="20"/>
        </w:rPr>
        <w:t xml:space="preserve">. </w:t>
      </w:r>
      <w:r>
        <w:rPr>
          <w:rFonts w:ascii="Times New Roman" w:hAnsi="Times New Roman"/>
          <w:color w:val="000000"/>
          <w:sz w:val="20"/>
          <w:u w:val="single"/>
        </w:rPr>
        <w:t>Transfer of Warrant.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Transferability</w:t>
      </w:r>
      <w:r>
        <w:rPr>
          <w:rFonts w:ascii="Times New Roman" w:hAnsi="Times New Roman"/>
          <w:color w:val="000000"/>
          <w:sz w:val="20"/>
        </w:rPr>
        <w:t xml:space="preserve">. Subject to compliance with any applicable securities laws,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Trading Days of the date on which the Holder delivers an assignment form to the Company assigning this Warrant in full. The Warrant, if properly assigned in accordance herewith, may be exercised by a new holder for the purchase of Warrant Shares or Warrant Common Shares without having a new Warrant issued.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New Warrants</w:t>
      </w:r>
      <w:r>
        <w:rPr>
          <w:rFonts w:ascii="Times New Roman" w:hAnsi="Times New Roman"/>
          <w:color w:val="000000"/>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or Warrant Common Shares issuable pursuant thereto.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Warrant Register</w:t>
      </w:r>
      <w:r>
        <w:rPr>
          <w:rFonts w:ascii="Times New Roman" w:hAnsi="Times New Roman"/>
          <w:color w:val="000000"/>
          <w:sz w:val="20"/>
        </w:rPr>
        <w:t>. The Company shall register this Warrant, upon records to be maintained by the Company for that purpose (the “</w:t>
      </w:r>
      <w:r>
        <w:rPr>
          <w:rFonts w:ascii="Times New Roman" w:hAnsi="Times New Roman"/>
          <w:color w:val="000000"/>
          <w:sz w:val="20"/>
          <w:u w:val="single"/>
        </w:rPr>
        <w:t>Warrant Register</w:t>
      </w:r>
      <w:r>
        <w:rPr>
          <w:rFonts w:ascii="Times New Roman" w:hAnsi="Times New Roman"/>
          <w:color w:val="000000"/>
          <w:sz w:val="20"/>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Section 5</w:t>
      </w:r>
      <w:r>
        <w:rPr>
          <w:rFonts w:ascii="Times New Roman" w:hAnsi="Times New Roman"/>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 Rights as Stockholder Until Exercise; No Settlement in Cash</w:t>
      </w:r>
      <w:r>
        <w:rPr>
          <w:rFonts w:ascii="Times New Roman" w:hAnsi="Times New Roman"/>
          <w:color w:val="000000"/>
          <w:sz w:val="20"/>
        </w:rPr>
        <w:t xml:space="preserve">. This Warrant does not entitle the Holder to any voting rights, dividends or other rights as a stockholder of the Company prior to the exercise hereof for Warrant Shares or Warrant Common Shares as set forth in Section 2(c)(i), except as expressly set forth in Section 3. Without limiting the rights of a Holder to receive cash payments contemplated by Section 2(c)(i) herein, in no event will the Company be required to net cash settle an exercise of this Warrant.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Loss, Theft, Destruction or Mutilation of Warrant</w:t>
      </w:r>
      <w:r>
        <w:rPr>
          <w:rFonts w:ascii="Times New Roman" w:hAnsi="Times New Roman"/>
          <w:color w:val="000000"/>
          <w:sz w:val="20"/>
        </w:rPr>
        <w:t xml:space="preserve">. The Company covenants that upon receipt by the Company of evidence reasonably satisfactory to it of the loss, theft, destruction or mutilation of this Warrant or any stock certificate relating to the Warrant Shares or Warrant Common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Saturdays, Sundays, Holidays, etc</w:t>
      </w:r>
      <w:r>
        <w:rPr>
          <w:rFonts w:ascii="Times New Roman" w:hAnsi="Times New Roman"/>
          <w:color w:val="000000"/>
          <w:sz w:val="20"/>
        </w:rPr>
        <w:t xml:space="preserve">. If the last or appointed day for the taking of any action or the expiration of any right required or granted herein shall not be a Trading Day, then such action may be taken or such right may be exercised on the next succeeding Trading Day.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Authorized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covenants that, during the period the Warrant is outstanding, it will reserve from its authorized and unissued Preferred Stock a sufficient number of shares to provide for the issuance of the Warrant Shares upon the exercise of this Warrant and, subject to the occurrence of the Automatic Conversion, will reserve from its authorized and unissued Common Stock a sufficient number of shares to provide for the issuance of the Warrant Common Shares upon the exercise of this Warrant. The Company further covenants that its issuance of this Warrant shall constitute full authority to its officers who are charged with the duty of issuing the necessary Warrant Shares or Warrant Common Shares upon the exercise of this Warrant. The Company will take all such reasonable action as may be necessary to assure that such Warrant Shares or Warrant Common Shares may be issued as provided herein without violation of any applicable law or regulation, or of any requirements of the Trading Market upon which the Common Stock may be listed. The Company covenants that all Warrant Shares and Warrant Common Shares which may be issued upon the exercise of this Warrant will, upon exercise hereunder and payment for such Warrant Shares or Warrant Common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or Warrant Common Shares above the amount payable therefor upon such exercise immediately prior to such increase in par value, (ii) take all such action as may be necessary or appropriate in order that the Company may validly and legally issue fully paid and nonassessable Warrant Shares and Warrant Common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taking any action which would result in an adjustment in the number of Warrant Shares or Warrant Common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Jurisdiction</w:t>
      </w:r>
      <w:r>
        <w:rPr>
          <w:rFonts w:ascii="Times New Roman" w:hAnsi="Times New Roman"/>
          <w:color w:val="000000"/>
          <w:sz w:val="20"/>
        </w:rPr>
        <w:t xml:space="preserve">. All questions concerning the construction, validity, enforcement and interpretation of this Warrant shall be determined in accordance with the provisions of the Securities Purchase Agreement.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Restrictions</w:t>
      </w:r>
      <w:r>
        <w:rPr>
          <w:rFonts w:ascii="Times New Roman" w:hAnsi="Times New Roman"/>
          <w:color w:val="000000"/>
          <w:sz w:val="20"/>
        </w:rPr>
        <w:t xml:space="preserve">. The Holder acknowledges that the Warrant Shares or Warrant Common Shares acquired upon the exercise of this Warrant, if not registered, will have restrictions upon resale imposed by state and federal securities laws.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Nonwaiver and Expenses</w:t>
      </w:r>
      <w:r>
        <w:rPr>
          <w:rFonts w:ascii="Times New Roman" w:hAnsi="Times New Roman"/>
          <w:color w:val="000000"/>
          <w:sz w:val="20"/>
        </w:rPr>
        <w:t xml:space="preserve">. No course of dealing or any delay or failure to exercise any right hereunder on the part of Holder shall operate as a waiver of such right or otherwise prejudice the Holder’s rights, powers or remedies. Without limiting any other provision of this Warrant or the Securities Purchase Agreement, if the Company willfully and knowingly fails to comply with any provision of this Warrant, which results in any material damages to the Holder, the Company shall pay to the Holder such amounts as shall be sufficient to cover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Notices</w:t>
      </w:r>
      <w:r>
        <w:rPr>
          <w:rFonts w:ascii="Times New Roman" w:hAnsi="Times New Roman"/>
          <w:color w:val="000000"/>
          <w:sz w:val="20"/>
        </w:rPr>
        <w:t xml:space="preserve">. Any and all notices or other communications or deliveries hereunder (including, without limitation, any Notice of Exercise)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to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Bolt Biotherapeutics, Inc.</w:t>
      </w:r>
    </w:p>
    <w:p>
      <w:pPr>
        <w:pStyle w:val="TextBody"/>
        <w:bidi w:val="0"/>
        <w:jc w:val="left"/>
        <w:rPr>
          <w:rFonts w:ascii="Times New Roman" w:hAnsi="Times New Roman"/>
          <w:color w:val="000000"/>
          <w:sz w:val="20"/>
        </w:rPr>
      </w:pPr>
      <w:r>
        <w:rPr>
          <w:rFonts w:ascii="Times New Roman" w:hAnsi="Times New Roman"/>
          <w:color w:val="000000"/>
          <w:sz w:val="20"/>
        </w:rPr>
        <w:br/>
        <w:t>900 Chesapeake Drive</w:t>
        <w:br/>
        <w:t>Redwood City, CA 94063</w:t>
      </w:r>
    </w:p>
    <w:p>
      <w:pPr>
        <w:pStyle w:val="TextBody"/>
        <w:bidi w:val="0"/>
        <w:jc w:val="both"/>
        <w:rPr>
          <w:rFonts w:ascii="Times New Roman" w:hAnsi="Times New Roman"/>
          <w:color w:val="000000"/>
          <w:sz w:val="20"/>
        </w:rPr>
      </w:pPr>
      <w:r>
        <w:rPr>
          <w:rFonts w:ascii="Times New Roman" w:hAnsi="Times New Roman"/>
          <w:color w:val="000000"/>
          <w:sz w:val="20"/>
        </w:rPr>
        <w:t xml:space="preserve">Attention: Legal Department </w:t>
      </w:r>
    </w:p>
    <w:p>
      <w:pPr>
        <w:pStyle w:val="TextBody"/>
        <w:bidi w:val="0"/>
        <w:jc w:val="both"/>
        <w:rPr>
          <w:rFonts w:ascii="Times New Roman" w:hAnsi="Times New Roman"/>
          <w:sz w:val="20"/>
        </w:rPr>
      </w:pPr>
      <w:r>
        <w:rPr>
          <w:rFonts w:ascii="Times New Roman" w:hAnsi="Times New Roman"/>
          <w:color w:val="000000"/>
          <w:sz w:val="20"/>
        </w:rPr>
        <w:t xml:space="preserve">Email: </w:t>
      </w:r>
      <w:r>
        <w:rPr>
          <w:rFonts w:ascii="Times New Roman" w:hAnsi="Times New Roman"/>
          <w:sz w:val="20"/>
        </w:rPr>
        <w:t>notice@boltbio.com</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With copy to: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Sidley Austin LLP </w:t>
      </w:r>
    </w:p>
    <w:p>
      <w:pPr>
        <w:pStyle w:val="TextBody"/>
        <w:bidi w:val="0"/>
        <w:jc w:val="left"/>
        <w:rPr>
          <w:rFonts w:ascii="Times New Roman" w:hAnsi="Times New Roman"/>
          <w:color w:val="000000"/>
          <w:sz w:val="20"/>
        </w:rPr>
      </w:pPr>
      <w:r>
        <w:rPr>
          <w:rFonts w:ascii="Times New Roman" w:hAnsi="Times New Roman"/>
          <w:color w:val="000000"/>
          <w:sz w:val="20"/>
        </w:rPr>
        <w:t xml:space="preserve">101 California Street, 35th Floor </w:t>
      </w:r>
    </w:p>
    <w:p>
      <w:pPr>
        <w:pStyle w:val="TextBody"/>
        <w:bidi w:val="0"/>
        <w:jc w:val="left"/>
        <w:rPr>
          <w:rFonts w:ascii="Times New Roman" w:hAnsi="Times New Roman"/>
          <w:color w:val="000000"/>
          <w:sz w:val="20"/>
        </w:rPr>
      </w:pPr>
      <w:r>
        <w:rPr>
          <w:rFonts w:ascii="Times New Roman" w:hAnsi="Times New Roman"/>
          <w:color w:val="000000"/>
          <w:sz w:val="20"/>
        </w:rPr>
        <w:t xml:space="preserve">San Francisco, CA 94111 </w:t>
      </w:r>
    </w:p>
    <w:p>
      <w:pPr>
        <w:pStyle w:val="TextBody"/>
        <w:bidi w:val="0"/>
        <w:jc w:val="left"/>
        <w:rPr>
          <w:rFonts w:ascii="Times New Roman" w:hAnsi="Times New Roman"/>
          <w:color w:val="000000"/>
          <w:sz w:val="20"/>
        </w:rPr>
      </w:pPr>
      <w:r>
        <w:rPr>
          <w:rFonts w:ascii="Times New Roman" w:hAnsi="Times New Roman"/>
          <w:color w:val="000000"/>
          <w:sz w:val="20"/>
        </w:rPr>
        <w:t xml:space="preserve">Attention: Frank Rahmani and Nick DeAngelis </w:t>
      </w:r>
    </w:p>
    <w:p>
      <w:pPr>
        <w:pStyle w:val="TextBody"/>
        <w:bidi w:val="0"/>
        <w:jc w:val="both"/>
        <w:rPr>
          <w:rFonts w:ascii="Times New Roman" w:hAnsi="Times New Roman"/>
          <w:color w:val="000000"/>
          <w:sz w:val="20"/>
        </w:rPr>
      </w:pPr>
      <w:r>
        <w:rPr>
          <w:rFonts w:ascii="Times New Roman" w:hAnsi="Times New Roman"/>
          <w:color w:val="000000"/>
          <w:sz w:val="20"/>
        </w:rPr>
        <w:t>Email: frahmani@sidley.com; ndeangelis@sidley.com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to the Holder, to its address or e-mail address on the books and records of the Company.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Warrant Agent</w:t>
      </w:r>
      <w:r>
        <w:rPr>
          <w:rFonts w:ascii="Times New Roman" w:hAnsi="Times New Roman"/>
          <w:color w:val="000000"/>
          <w:sz w:val="20"/>
        </w:rPr>
        <w:t xml:space="preserve">.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Limitation of Liability</w:t>
      </w:r>
      <w:r>
        <w:rPr>
          <w:rFonts w:ascii="Times New Roman" w:hAnsi="Times New Roman"/>
          <w:color w:val="000000"/>
          <w:sz w:val="20"/>
        </w:rPr>
        <w:t xml:space="preserve">. No provision hereof, in the absence of any affirmative action by the Holder to exercise this Warrant to purchase Warrant Shares or Warrant Common Shares, and no enumeration herein of the rights or privileges of the Holder, shall give rise to any liability of the Holder for the purchase price of any Preferred Stock or Common Stock or as a stockholder of the Company, whether such liability is asserted by the Company or by creditors of the Company.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Remedies</w:t>
      </w:r>
      <w:r>
        <w:rPr>
          <w:rFonts w:ascii="Times New Roman" w:hAnsi="Times New Roman"/>
          <w:color w:val="000000"/>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Successors and Assigns</w:t>
      </w:r>
      <w:r>
        <w:rPr>
          <w:rFonts w:ascii="Times New Roman" w:hAnsi="Times New Roman"/>
          <w:color w:val="000000"/>
          <w:sz w:val="20"/>
        </w:rPr>
        <w:t xml:space="preserve">. Subject to applicable securities laws, this Warrant and the rights and obligations evidenced hereby shall inure to the benefit of and be binding upon the successors and permitted assigns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the Company and the successors and permitted assigns of Holder. The provisions of this Warrant are intended to be for the benefit of any Holder from time to time of this Warrant and shall be enforceable by the Holder or holder of Warrant Shares or Warrant Common Shares.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Amendment</w:t>
      </w:r>
      <w:r>
        <w:rPr>
          <w:rFonts w:ascii="Times New Roman" w:hAnsi="Times New Roman"/>
          <w:color w:val="000000"/>
          <w:sz w:val="20"/>
        </w:rPr>
        <w:t xml:space="preserve">. This Warrant may be modified or amended or the provisions hereof waived with the written consent of the Company, on the one hand, and the Holder of this Warrant, on the other hand.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 </w:t>
      </w:r>
      <w:r>
        <w:rPr>
          <w:rFonts w:ascii="Times New Roman" w:hAnsi="Times New Roman"/>
          <w:color w:val="000000"/>
          <w:sz w:val="20"/>
          <w:u w:val="single"/>
        </w:rPr>
        <w:t>Severability</w:t>
      </w:r>
      <w:r>
        <w:rPr>
          <w:rFonts w:ascii="Times New Roman" w:hAnsi="Times New Roman"/>
          <w:color w:val="000000"/>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 </w:t>
      </w:r>
      <w:r>
        <w:rPr>
          <w:rFonts w:ascii="Times New Roman" w:hAnsi="Times New Roman"/>
          <w:color w:val="000000"/>
          <w:sz w:val="20"/>
          <w:u w:val="single"/>
        </w:rPr>
        <w:t>Headings</w:t>
      </w:r>
      <w:r>
        <w:rPr>
          <w:rFonts w:ascii="Times New Roman" w:hAnsi="Times New Roman"/>
          <w:color w:val="000000"/>
          <w:sz w:val="20"/>
        </w:rPr>
        <w:t xml:space="preserve">. The headings used in this Warrant are for the convenience of reference only and shall not, for any purpose, be deemed a part of this Warrant.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 </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spacing w:before="2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WITNESS WHEREOF, the Company has caused this Warrant to be executed by its officer thereunto duly authorized as of the date first above indicated. </w:t>
      </w:r>
    </w:p>
    <w:tbl>
      <w:tblPr>
        <w:tblW w:w="2510" w:type="dxa"/>
        <w:jc w:val="left"/>
        <w:tblInd w:w="0" w:type="dxa"/>
        <w:tblLayout w:type="fixed"/>
        <w:tblCellMar>
          <w:top w:w="28" w:type="dxa"/>
          <w:left w:w="28" w:type="dxa"/>
          <w:bottom w:w="28" w:type="dxa"/>
          <w:right w:w="28" w:type="dxa"/>
        </w:tblCellMar>
      </w:tblPr>
      <w:tblGrid>
        <w:gridCol w:w="1491"/>
        <w:gridCol w:w="276"/>
        <w:gridCol w:w="743"/>
      </w:tblGrid>
      <w:tr>
        <w:trPr/>
        <w:tc>
          <w:tcPr>
            <w:tcW w:w="14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491"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0"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Bolt Biotherapeutics, Inc.</w:t>
            </w:r>
          </w:p>
        </w:tc>
      </w:tr>
      <w:tr>
        <w:trPr/>
        <w:tc>
          <w:tcPr>
            <w:tcW w:w="1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By:</w:t>
            </w:r>
          </w:p>
        </w:tc>
        <w:tc>
          <w:tcPr>
            <w:tcW w:w="27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3" w:type="dxa"/>
            <w:tcBorders>
              <w:bottom w:val="single" w:sz="6"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49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Name:</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Title:</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NOTICE OF EXERCISE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BOLT BIOTHERAPEUTICS,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undersigned hereby elects to purchase ________ [Warrant Shares of Preferred Stock][Warrant Common Shares of Common Stock] of the Company pursuant to the terms of the attached Warrant, and tenders herewith payment of the aggregate Exercise Price in full, together with all applicable transfer taxes, if 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 shall be made in lawful money of the United States by wire transfer of immediately available funds to an account designated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Please issue said Warrant Shares or Warrant Common Shares, as applicable, in the name of the undersigned or in such other name as is specified below: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Warrant Common Shares are being purchased, the Warrant Common Shares shall be delivered to the following DWAC Account Number: </w:t>
      </w:r>
    </w:p>
    <w:p>
      <w:pPr>
        <w:pStyle w:val="TextBody"/>
        <w:bidi w:val="0"/>
        <w:spacing w:before="20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[SIGNATURE OF HOLDER] </w:t>
      </w:r>
    </w:p>
    <w:tbl>
      <w:tblPr>
        <w:tblW w:w="4883" w:type="dxa"/>
        <w:jc w:val="left"/>
        <w:tblInd w:w="0" w:type="dxa"/>
        <w:tblLayout w:type="fixed"/>
        <w:tblCellMar>
          <w:top w:w="28" w:type="dxa"/>
          <w:left w:w="28" w:type="dxa"/>
          <w:bottom w:w="28" w:type="dxa"/>
          <w:right w:w="28" w:type="dxa"/>
        </w:tblCellMar>
      </w:tblPr>
      <w:tblGrid>
        <w:gridCol w:w="4546"/>
        <w:gridCol w:w="146"/>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Investing Entity: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Signature of Authorized Signatory of Investing Entity</w:t>
            </w:r>
            <w:r>
              <w:rPr>
                <w:rFonts w:ascii="Times New Roman" w:hAnsi="Times New Roman"/>
                <w:color w:val="000000"/>
                <w:sz w:val="20"/>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Authorized Signatory: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of Authorized Signatory: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B</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ASSIGNMENT FORM </w:t>
      </w:r>
    </w:p>
    <w:p>
      <w:pPr>
        <w:pStyle w:val="TextBody"/>
        <w:bidi w:val="0"/>
        <w:spacing w:before="240" w:after="283"/>
        <w:jc w:val="left"/>
        <w:rPr>
          <w:rFonts w:ascii="Times New Roman" w:hAnsi="Times New Roman"/>
          <w:sz w:val="20"/>
        </w:rPr>
      </w:pPr>
      <w:r>
        <w:rPr>
          <w:rFonts w:ascii="Times New Roman" w:hAnsi="Times New Roman"/>
          <w:i/>
          <w:color w:val="000000"/>
          <w:sz w:val="20"/>
        </w:rPr>
        <w:t>(To assign the foregoing Warrant, execute this form and supply required information. Do not use this form to exercise the Warrant to purchase shares.)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VALUE RECEIVED, the foregoing Warrant and all rights evidenced thereby are hereby assigned to </w:t>
      </w:r>
    </w:p>
    <w:tbl>
      <w:tblPr>
        <w:tblW w:w="8808" w:type="dxa"/>
        <w:jc w:val="left"/>
        <w:tblInd w:w="0" w:type="dxa"/>
        <w:tblLayout w:type="fixed"/>
        <w:tblCellMar>
          <w:top w:w="28" w:type="dxa"/>
          <w:left w:w="28" w:type="dxa"/>
          <w:bottom w:w="28" w:type="dxa"/>
          <w:right w:w="28" w:type="dxa"/>
        </w:tblCellMar>
      </w:tblPr>
      <w:tblGrid>
        <w:gridCol w:w="7246"/>
        <w:gridCol w:w="146"/>
        <w:gridCol w:w="1416"/>
      </w:tblGrid>
      <w:tr>
        <w:trPr/>
        <w:tc>
          <w:tcPr>
            <w:tcW w:w="7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(Please Print)</w:t>
            </w:r>
          </w:p>
        </w:tc>
      </w:tr>
      <w:tr>
        <w:trPr/>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(Please Print)</w:t>
            </w:r>
          </w:p>
        </w:tc>
      </w:tr>
      <w:tr>
        <w:trPr/>
        <w:tc>
          <w:tcPr>
            <w:tcW w:w="72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Phone 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Email Address: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__________________________________ __, ______</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Holder’s Signature: ___________________________________________________</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Holder’s Address: ________________________________________________</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2" w:name="bolt-ex99_1.htm"/>
      <w:bookmarkStart w:id="13" w:name="ksboltex99_1"/>
      <w:bookmarkEnd w:id="12"/>
      <w:bookmarkEnd w:id="13"/>
      <w:r>
        <w:rPr>
          <w:rFonts w:ascii="Times New Roman" w:hAnsi="Times New Roman"/>
          <w:b/>
          <w:color w:val="000000"/>
          <w:sz w:val="20"/>
        </w:rPr>
        <w:t>Exhibit 99.1</w:t>
      </w:r>
      <w:r>
        <w:br w:type="page"/>
      </w:r>
    </w:p>
    <w:p>
      <w:pPr>
        <w:pStyle w:val="TextBody"/>
        <w:bidi w:val="0"/>
        <w:jc w:val="left"/>
        <w:rPr/>
      </w:pPr>
      <w:r>
        <w:rPr/>
        <w:drawing>
          <wp:inline distT="0" distB="0" distL="0" distR="0">
            <wp:extent cx="15811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81150" cy="704850"/>
                    </a:xfrm>
                    <a:prstGeom prst="rect">
                      <a:avLst/>
                    </a:prstGeom>
                  </pic:spPr>
                </pic:pic>
              </a:graphicData>
            </a:graphic>
          </wp:inline>
        </w:drawing>
      </w:r>
    </w:p>
    <w:p>
      <w:pPr>
        <w:pStyle w:val="TextBody"/>
        <w:bidi w:val="0"/>
        <w:jc w:val="left"/>
        <w:rPr/>
      </w:pPr>
      <w:r>
        <w:rPr/>
        <w:t> </w:t>
      </w:r>
    </w:p>
    <w:p>
      <w:pPr>
        <w:pStyle w:val="TextBody"/>
        <w:bidi w:val="0"/>
        <w:jc w:val="center"/>
        <w:rPr>
          <w:rFonts w:ascii="sans-serif" w:hAnsi="sans-serif"/>
          <w:b/>
          <w:color w:val="000000"/>
          <w:sz w:val="28"/>
        </w:rPr>
      </w:pPr>
      <w:r>
        <w:rPr>
          <w:rFonts w:ascii="sans-serif" w:hAnsi="sans-serif"/>
          <w:b/>
          <w:color w:val="000000"/>
          <w:sz w:val="28"/>
        </w:rPr>
        <w:t>Bolt Biotherapeutics Announces Acquisition of Prana Therapies and $120 Million Concurrent Private Placement to Advance PRA-216 in Multiple High-Value Inflammatory Indications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Transactions position the company to advance Prana’s pipeline of next-generation, half-life-extended multispecific antibodies enabled by its proprietary INSPIRE platform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PRA-216 is a novel IL-4Rα/TSLP bispecific antibody currently in Phase 2 development for asthma, COPD, and atopic dermatitis, with a Phase 2 study in EoE planned; patient data from all four trials expected beginning in the second quarter of 2027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Concurrent private placement of $120 million in upfront financing with the potential to receive up to an additional $60 million upon exercise of accompanying warrants secured from leading healthcare institutional investors is expected to fund operations into 2028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Following the transaction, Sheila Gujrathi, M.D., Prana’s Co-Founder and former Chief Executive Officer, will join Bolt’s executive team and Bolt’s Board of Directors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Bolt to host conference call and webcast on October 26, 2026 at 8:30 a.m. ET</w:t>
      </w:r>
    </w:p>
    <w:p>
      <w:pPr>
        <w:pStyle w:val="TextBody"/>
        <w:bidi w:val="0"/>
        <w:jc w:val="left"/>
        <w:rPr/>
      </w:pPr>
      <w:r>
        <w:rPr/>
        <w:t> </w:t>
      </w:r>
    </w:p>
    <w:p>
      <w:pPr>
        <w:pStyle w:val="TextBody"/>
        <w:bidi w:val="0"/>
        <w:jc w:val="left"/>
        <w:rPr>
          <w:rFonts w:ascii="sans-serif" w:hAnsi="sans-serif"/>
          <w:sz w:val="22"/>
        </w:rPr>
      </w:pPr>
      <w:r>
        <w:rPr>
          <w:rFonts w:ascii="sans-serif" w:hAnsi="sans-serif"/>
          <w:b/>
          <w:color w:val="000000"/>
          <w:sz w:val="22"/>
        </w:rPr>
        <w:t>REDWOOD CITY, Calif., October 23, 2026</w:t>
      </w:r>
      <w:r>
        <w:rPr>
          <w:rFonts w:ascii="sans-serif" w:hAnsi="sans-serif"/>
          <w:color w:val="000000"/>
          <w:sz w:val="22"/>
        </w:rPr>
        <w:t xml:space="preserve"> – Bolt Biotherapeutics, Inc. (Nasdaq: BOLT) (“Bolt” or the “Company”) today announced the acquisition of Prana Therapies, Inc. (“Prana”), a clinical-stage biotechnology company pioneering next-generation half-life-extended multispecific antibodies designed to deliver best-in-disease therapies. Following the acquisition, the Company will focus on advancing Prana’s pipeline of half-life-extended multispecific antibodies generated from its proprietary INSPIRE platform, led by PRA-216, a novel IL-4Rα/TSLP bispecific antibody currently in Phase 2 development in asthma, chronic obstructive pulmonary disease (COPD) and atopic dermatitis, with a Phase 2 study in eosinophilic esophagitis (EoE) planned.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acquisition was structured as a sign-and-close reverse merger, in which the parties entered into a merger agreement for a stock-for-stock transaction. Concurrent with the acquisition, Bolt entered into a securities purchase agreement for a private placement financing, which includes $120 million in upfront gross proceeds for the purchase of shares of Series D non-voting convertible preferred stock and up to an additional $60 million upon exercise of accompanying warrants with a syndicate of new and existing leading healthcare institutional investors, including Deep Track Capital, ADAR1 Capital, Andreessen Horowitz (a16z), LYFE Capital, Coastlands Capital, Eventide Asset Management, Casdin Capital, Curie.Bio, SilverArc Capital, Soleus Capital, Deviation Capital and other institutional investors. The proceeds from the private placement are expected to fund operations into 2028 and through multiple anticipated clinical and preclinical milestones.</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We built the INSPIRE platform to realize the potential of multispecific antibodies as medicines, combining complementary biology with the properties needed to deliver both greater efficacy and a better treatment experience for patients. PRA-216 is our flagship program, designed for best-in-disease efficacy together with the convenience of infrequent, at-home dosing,” said Sheila Gujrathi, M.D., Co-Founder and former Chief Executive Officer of Prana, and newly appointed Chief Strategy Officer. “This transaction and financing provide the resources to advance PRA-216 through multiple Phase 2 readouts in 2027 while continuing to expand our INSPIRE pipeline. We are grateful for the support of our new and existing investors as we enter this next stage of development.”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color w:val="000000"/>
        </w:rPr>
      </w:pPr>
      <w:r>
        <w:rPr>
          <w:color w:val="000000"/>
        </w:rPr>
        <w:t>“</w:t>
      </w:r>
      <w:r>
        <w:rPr>
          <w:rFonts w:ascii="sans-serif" w:hAnsi="sans-serif"/>
          <w:color w:val="000000"/>
          <w:sz w:val="22"/>
        </w:rPr>
        <w:t>We believe the acquisition of Prana provides a compelling opportunity for Bolt stockholders to participate in the potential of a differentiated, clinical-stage pipeline addressing large markets, beginning in inflammatory disease,” said Willie Quinn, Chief Executive Officer of Bolt Biotherapeutics. “We have been impressed by Prana’s team, the clinical profile demonstrated by PRA-216 to date, and the broader potential of the INSPIRE platform. We look forward to the opportunities ahead for the company.”</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Prana’s Pipeline Overview and Development Milestones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Prana’s focus is to develop the next generation of half-life-extended multispecific antibodies designed to deliver best-in-disease therapies. The lead program, PRA-216, is a fully human, half-life-extended bispecific antibody targeting IL-4Rα and TSLP and is the first clinical program generated from Prana’s proprietary INSPIRE platform. PRA-216 combines broad downstream blockade of both IL-4 and IL-13 signaling (through IL-4Rα blockade) with upstream TSLP inhibition to address complementary drivers of inflammation.</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Prana disclosed data from the Phase 1 healthy volunteer study of PRA-216 as a late-breaking abstract at the 2026 European Respiratory Society. PRA-216 was well tolerated and demonstrated rapid, deep, and durable pharmacodynamic activity across multiple key Type 2 inflammatory biomarkers including pSTAT6, serum TARC, blood eosinophils, and IgE. PRA-216 also demonstrated bioavailability and extended exposure supporting the potential for convenient, at-home maintenance dosing every eight to 12 weeks. Phase 2 development in asthma, COPD, and atopic dermatitis has been initiated, with a Phase 2 study in EoE planned, and with patient data from all four trials expected beginning in the second quarter of 2027 and continuing through the fourth quarter of 2027.</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PRA-216 provides the first clinical validation of Prana’s INSPIRE platform. INSPIRE continues to generate a pipeline of half-life-extended, fully IgG-based multispecific antibodies designed to overcome key limitations of conventional multispecific formats, including challenges with half-life, stability, manufacturability, immunogenicity, and subcutaneous delivery.</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Prana’s second program is an IL-31 containing bispecific antibody being developed initially for atopic dermatitis. First-in-human studies in healthy volunteers and patients are expected to begin in the second half of 2027, with clinical data also expected in the second half of 2027.</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Two additional undisclosed pipeline programs are expected to advance toward IND-enabling development by the second half of 2027.</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the Transactions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acquisition was structured as a stock-for-stock transaction via sign-and-close reverse merger, pursuant to which all outstanding equity interests of Prana were exchanged based on a fixed exchange ratio for a combination of 430,746 shares of Bolt common stock and 16,360.929 shares of Series D non-voting convertible preferred stock (representing 16,791,675 shares of Bolt common stock on an as-converted-to-common basis and without giving effect to any beneficial ownership limitations).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Concurrent with the acquisition, Bolt entered into a definitive agreement for a private placement financing to raise $120 million in gross proceeds, for the purchase of 13,995.311 shares of Series D non-voting convertible preferred stock (or 13,995,311 shares of Bolt common stock on an as-converted-to-common basis and without giving effect to any beneficial ownership limitations) at a price of $8,574.30 per share (or $8.5743 per share on an as-converted basis) and up to an additional $60 million upon exercise of accompanying warrants to purchase up to 6,997,655 shares of common stock (or shares of Series D non-voting convertible preferred stock under certain circumstances), in each case at an exercise price of $8,574.30 per Series D share (or $8.5743 per share on an as-converted basis), in each case as described below. The private placement is expected to close on October 26, 2026.</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Subject to Bolt stockholder approval in accordance with Nasdaq listing rules, each share of Series D non-voting convertible preferred stock will automatically convert into 1,000 shares of Bolt common stock, subject to certain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 xml:space="preserve">beneficial ownership limitations set by each holder, and after conversion, each warrant will then become exercisable for shares of common stock, subject to certain beneficial ownership limitations set by each holder.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acquisition was approved by the Board of Directors of Bolt and the Board of Directors and stockholders of Prana. The closings of the acquisition and the private placement were not subject to the approval of Bolt’s stockholders. The approval of Bolt’s stockholders is required, among other things, under the terms of the Series D non-voting convertible preferred stock in order for the Series D non-voting convertible preferred stock to be converted into shares of Bolt’s common stock, and Bolt is required to hold a stockholder meeting for such vote. The warrants issuable upon closing of the private placement will become exercisable for cash to purchase shares of common stock upon the automatic conversion of the Series D non-voting convertible preferred stock into common stock following receipt of the requisite stockholder approval (or shares of Series D non-voting convertible preferred stock under certain circumstances), at the applicable exercise price specified therein. The warrants will expire on the earlier of (i) 30 days following the company’s first public disclosure of top-line results from the first-in-human clinical data from its Program 2 Phase 1 (IL-31 bispecific), such disclosure to include at least two dosing cohorts from subjects administered subcutaneous single ascending doses (n = approximately 8 per group) with at least 8 weeks post-dose follow up, similar to Phase 1 data previously generated for PRA-216 and (ii) June 30, 2028.</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As a result of the transactions, equity holders of Bolt immediately prior to the acquisition will own approximately 6.9% of Bolt’s common stock, equity holders of Prana immediately prior to the acquisition will own approximately 51.7% of Bolt common stock and investors in the private placement financing will own approximately 41.4% of Bolt common stock, in each case, calculated on a fully-diluted basis (without giving effect to any beneficial ownership limitations and assuming the conversion in full of the Series D non-voting convertible preferred stock into common stock) using the treasury stock method and based on the implied equity values of Bolt and Prana. On an as-converted basis and after accounting for these transactions (and without giving effect to any beneficial ownership limitations), the total number of shares of Bolt common stock (including shares underlying the Series D non-voting convertible preferred stock) will be approximately 34,183,982.</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Following receipt of the $120 million in upfront gross proceeds from the private placement, Bolt is expected to have projected cash runway into 2028.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Management and Board of Directors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In connection with the closing of the merger, Sheila Gujrathi, M.D., Prana’s Co-Founder and former Chief Executive Officer, has been appointed Chief Strategy Officer of Bolt and has joined the Bolt Board of Directors.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Advisory and Legal Counsel</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Jefferies LLC, TD Cowen, Stifel, and LifeSci Capital are serving as placement agents for the concurrent private placement financing. Tungsten Advisors is also serving as financial advisor and placement agent to Prana. Cooley LLP is serving as legal counsel to Prana. Sidley Austin LLP is serving as legal counsel to Bolt. Lake Street Capital Markets provided a fairness opinion to Bolt’s Board of Directors. Gibson, Dunn &amp; Crutcher LLP is serving as legal counsel to the placement agents.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Conference Call and Webcast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Bolt will host a conference call and webcast on Monday, October 26, 2026 at 8:30 a.m. ET to discuss the transaction, financing, and the company’s pipeline.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To listen to the live webcast, or access the archived webcast and accompanying presentation, please visit: https://investors.boltbio.com/news-and-events/events-and-presentations. Following the live webcast, a replay will be available on Bolt’s website.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Bolt Biotherapeutics, Inc.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Bolt Biotherapeutics is a clinical-stage biotechnology company pioneering a new generation of half-life-extended multispecific antibodies designed to deliver best-in-disease therapies. Through the proprietary INSPIRE platform it acquired from Prana Therapies, the company combines complementary therapeutic mechanisms in fully IgG-based molecules designed for differentiated efficacy, extended exposure, and convenient dosing.</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The company’s lead program, PRA-216, is a novel IL-4Rα/TSLP bispecific antibody currently in Phase 2 development in asthma, chronic obstructive pulmonary disease, and atopic dermatitis, with a fourth Phase 2 study planned in eosinophilic esophagitis. In addition to PRA-216, Bolt Biotherapeutics is advancing a wholly owned pipeline of additional INSPIRE-based multispecific programs across diseases with significant unmet need.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For more information, please visit https://www.boltbio.com/.</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press release contains forward-looking statements about us and our industry that involve substantial risks and uncertainties and are based on our beliefs and assumptions and on information currently available to us. All statements other than statements of historical facts contained in this press release, including, without limitation, statements regarding Bolt, Prana, the concurrent private placement financing and the acquisition of Prana by Bolt (the “Transactions”) and other matters, including, without limitation, statements regarding: the Transactions, including the closing of the concurrent private placement financing, including any additional gross proceeds that may be received upon exercise, if any, of accompanying warrants, if any, and the expected effects, perceived benefits or opportunities and related timing with respect thereto; expectations regarding or plans for the company’s pipeline, including its ongoing and planned clinical trials, research and development programs and the expected timing for key milestones, including the release of clinical data; the potential benefits of PRA-216 and Prana’s other clinical programs; and expectations regarding the use of proceeds from the concurrent private placement financing and cash runway expectations therefrom, including such proceeds funding the company through key clinical milestones; and any statements that refer to projections, forecasts or other characterizations of future events or circumstances, including any underlying assumptions, are forward-looking statements. In some cases, you can identify forward-looking statements because they contain words such as “anticipate,” “believe,” “could,” “estimate,” “expect,” “intend,” “may,” “on track,” “plan,” “potential,” “predict,” “project,” “should,” “will,” or “would,” or the negative of these words or other similar terms or expressions.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current beliefs, estimates and assumptions only as of the date of this press release and information contained in this press release should not be relied upon as representing our estimates as of any subsequent date. These statements, and related risks, uncertainties, factors and assumptions, include, but are not limited to: the company’s ability to consummate the private placement financing or realize the anticipated benefits from the transactions, including as a result of its failure to receive the requisite stockholder approvals; investors in the private placement may not exercise their warrants and the company may not receive any additional proceeds therefrom; the potential product candidates that we develop may not progress through clinical development or receive required regulatory approvals within expected timelines or at all; clinical trials may not confirm any safety, potency or other product characteristics described or assumed in this press release; such product candidates may not be beneficial to patients or become commercialized; and our ability to maintain our current collaborations and establish further collaborations. 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 Further information on factors that could cause actual results to differ materially from the results anticipated by our forward-looking statements is included in the reports we have filed or will file with the Securities and Exchange Commission, including our Annual Report on Form 10-K and Quarterly Reports on Form 10-Q. These filings, when available, are available on the investor relations section of our website at investors.boltbio.com and on the SEC’s website at www.sec.gov.</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Contacts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Christina Trout</w:t>
      </w:r>
    </w:p>
    <w:p>
      <w:pPr>
        <w:pStyle w:val="TextBody"/>
        <w:bidi w:val="0"/>
        <w:jc w:val="left"/>
        <w:rPr>
          <w:rFonts w:ascii="sans-serif" w:hAnsi="sans-serif"/>
          <w:color w:val="000000"/>
          <w:sz w:val="22"/>
        </w:rPr>
      </w:pPr>
      <w:r>
        <w:rPr>
          <w:rFonts w:ascii="sans-serif" w:hAnsi="sans-serif"/>
          <w:color w:val="000000"/>
          <w:sz w:val="22"/>
        </w:rPr>
        <w:t>VP, Corporate Development</w:t>
      </w:r>
    </w:p>
    <w:p>
      <w:pPr>
        <w:pStyle w:val="TextBody"/>
        <w:bidi w:val="0"/>
        <w:jc w:val="left"/>
        <w:rPr>
          <w:rFonts w:ascii="sans-serif" w:hAnsi="sans-serif"/>
          <w:color w:val="000000"/>
          <w:sz w:val="22"/>
        </w:rPr>
      </w:pPr>
      <w:r>
        <w:rPr>
          <w:rFonts w:ascii="sans-serif" w:hAnsi="sans-serif"/>
          <w:color w:val="000000"/>
          <w:sz w:val="22"/>
        </w:rPr>
        <w:t>investors@pranatherapies.com</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Matthew DeYoung</w:t>
      </w:r>
    </w:p>
    <w:p>
      <w:pPr>
        <w:pStyle w:val="TextBody"/>
        <w:bidi w:val="0"/>
        <w:jc w:val="left"/>
        <w:rPr>
          <w:rFonts w:ascii="sans-serif" w:hAnsi="sans-serif"/>
          <w:color w:val="000000"/>
          <w:sz w:val="22"/>
        </w:rPr>
      </w:pPr>
      <w:r>
        <w:rPr>
          <w:rFonts w:ascii="sans-serif" w:hAnsi="sans-serif"/>
          <w:color w:val="000000"/>
          <w:sz w:val="22"/>
        </w:rPr>
        <w:t>Argot Partners</w:t>
      </w:r>
    </w:p>
    <w:p>
      <w:pPr>
        <w:pStyle w:val="TextBody"/>
        <w:bidi w:val="0"/>
        <w:jc w:val="left"/>
        <w:rPr>
          <w:rFonts w:ascii="sans-serif" w:hAnsi="sans-serif"/>
          <w:color w:val="000000"/>
          <w:sz w:val="22"/>
        </w:rPr>
      </w:pPr>
      <w:r>
        <w:rPr>
          <w:rFonts w:ascii="sans-serif" w:hAnsi="sans-serif"/>
          <w:color w:val="000000"/>
          <w:sz w:val="22"/>
        </w:rPr>
        <w:t>(212) 600-1902</w:t>
      </w:r>
    </w:p>
    <w:p>
      <w:pPr>
        <w:pStyle w:val="TextBody"/>
        <w:bidi w:val="0"/>
        <w:jc w:val="left"/>
        <w:rPr>
          <w:rFonts w:ascii="sans-serif" w:hAnsi="sans-serif"/>
          <w:color w:val="000000"/>
          <w:sz w:val="22"/>
        </w:rPr>
      </w:pPr>
      <w:r>
        <w:rPr>
          <w:rFonts w:ascii="sans-serif" w:hAnsi="sans-serif"/>
          <w:color w:val="000000"/>
          <w:sz w:val="22"/>
        </w:rPr>
        <w:t>boltbio@argotpartners.com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14" w:name="bolt-ex99_2.htm"/>
      <w:bookmarkStart w:id="15" w:name="ksboltex99_2"/>
      <w:bookmarkEnd w:id="14"/>
      <w:bookmarkEnd w:id="1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Company Transaction &amp; Overview Bolt Biotherapeutics and Prana Therapies October 23,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Disclosures This Presentation has been prepared by Bolt Biotherapeutics, Inc. ("Bolt") and Prana Therapies, Inc. ("Prana" and, together with Bolt and each of Bolt's and Prana’s subsidiaries, the "combined company") and contains information pertaining to the business and operations of the combined company. The information contained in this Presentation: (a) is provided as at the date hereof, is subject to change without notice, and is based on publicly available data and internally developed data as well as third party information from other sources; (b) does not purport to contain all the information that may be necessary or desirable to fully and accurately evaluate an investment in the combined company; (c) is not to be considered a recommendation by the combined company that any person make an investment in the combined company; (d) is provided for informational purposes only and shall not constitute an offer to buy, sell, issue or subscribe for, or the solicitation of an offer to buy, sell or issue, or subscribe for any securities of the combined company in any jurisdiction in which such offer, solicitation or sale would be unlawful. Where any opinion or belief is expressed in this Presentation, it is based on certain assumptions and limitations and is an expression of present opinion or belief only. This Presentation should not be construed as legal, financial or tax advice to any individual, as each individual's circumstances are different. This Presentation is for informational purposes only and should not be considered a solicitation or recommendation to purchase, sell or hold a security. Certain matters discussed in this Presentation may contain forward-looking statements that are, by their nature, subject to significant risks and uncertainties. Forward-looking statements can be identified by words such as “may,” “will,” “should,” “would,” “could,” “believe,” “expect,” “anticipate,” “intend,” “plan,” “continue,” “seek,” “estimate,” “potential” or the negative of these terms or other similar terms. Forward-looking statements in this Presentation include, but are not limited to, statements about: Bolt, Prana, the private placement financing and the acquisition of Prana by Bolt (the "Transactions"), including the closing of the private placement financing, if any, and the expected effects, perceived benefits or opportunities and related timing with respect thereto; expectations regarding the use of proceeds from the private placement financing and cash runway expectations therefrom, including such proceeds funding the combined company through key clinical milestones; the combined company’s product candidates (including PRA-216) and the potential benefits thereof; planned and ongoing preclinical and clinical studies, including the timing for IND filings, study initiations and topline results and other future development milestones; expected regulatory pathways; potential market opportunities; and expectations regarding patent protection and exclusivity. Such forward-looking statements reflect the current views of the combined company’s management regarding future events; they are not guarantees of future performance. These forward-looking statements involve significant risks and uncertainties that could cause actual results to differ materially and adversely from results expressed or implied by this Presentation, including, among others: the inability to complete the Transactions, including the private placement financing and the ability to obtain the requisite post-closing stockholder approvals; costs related to the proposed Transactions; the ability to maintain the listing of Bolt's common stock on The Nasdaq Capital Market and comply with applicable continued listing requirements; the ability to successfully integrate the businesses and operations of Bolt and Prana and realize the anticipated benefits of the Transactions; potential litigation, stock price volatility or disruption to the combined company’s operations related to the Transactions; the ability of the combined company to obtain sufficient additional capital to further advance its clinical programs; the ability of the combined company’s clinical trials to demonstrate acceptable safety and efficacy of its product candidates and other positive results; the progress of the combined company’s preclinical studies and clinical trials; risks related to clinical development and regulatory approval of the combined company’s product candidates, including potential delays in the commencement, enrollment and completion of clinical trials; the combined company’s history of operating losses and potential need for additional financing; the size of the market opportunities for the combined company’s product candidates; competition in the combined company’s industry; upcoming data readouts and clinical trials planned for PRA-216; changes in applicable laws or regulations and other risks and uncertainties from time to time described in Bolt's Annual Report on Form 10-K for the year ended December 31, 2025, filed with the U.S. Securities and Exchange Commission (“SEC”) on March 12, 2026 and Quarterly Report on Form 10-Q for the quarter ended June 30, 2026, filed with the SEC on August 11, 2026, including those under the "Risk Factors" section therein, and in Bolt's other filings with the SEC, including any subsequent filings relating to the Transactions. The combined company assumes no obligation to update any forward-looking information contained in this Presentation. Certain information contained in this Presentation related to or are based on studies, publications and other data obtained from third party sources as well as our own internal estimates and research. While the combined company believes that such third-party sources are reliable, there can be no assurance as to the accuracy or completeness of the indicated information. The combined company has not independently verified the information provided by such third-party sources.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or © or ® symbols, but the combined company will assert, to the fullest extent under applicable law, the rights of the owners to these trademarks, service marks, trade names and copyrights.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acquisition of Prana Therapies was structured as a sign-and-close reverse merger whereby all of Prana's outstanding equity interests were exchanged for a combination of shares of Bolt Biotherapeutics common stock and a newly created Series D non-voting convertible preferred stock. Concurrent with the acquisition of Prana, Bolt expects to close a private placement of $120 million with a group of institutional accredited investors including Deep Track Capital, ADAR1 Capital, Andreessen Horowitz (a16z), LYFE Capital, Coastlands Capital, Eventide Asset Management, Casdin Capital, Curie.Bio, SilverArc Capital, Soleus Capital, Deviation Capital and other institutional investors. Bolt Biotherapeutics Announces Acquisition of Prana Therapies The Company expects to use the proceeds from the private placement to fund continued clinical development of PRA-216 across asthma, COPD, atopic dermatitis, and EoE through Phase 2 proof-of-concept readouts and toward Phase 3 initiation including later phase CMC; advance Program 2 through candidate nomination and first-in-human development; and progress the discovery platform, as well as general corporate purposes. Continuing leadership includes Willie Quinn, Chief Executive Officer, Grant Yonehiro, Chief Operating Officer, and Sheila Gujrathi, Chief Strategy Officer. Dr. Gujrathi has also joined Bolt's Board as a director.  Management ?and Board Use of Proceeds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Prana Therapies: Advancing Next-Generation Multispecific Antibodies with Best-in-Disease Potential WHOLLY-OWNED PLATFORM · LEAD PROGRAM IN PHASE 2 · CLEAR PATH TO VALUE CREATION PRA-216 Multiple Phase 2 readouts expected Q2-Q4 2027 Phase 2 Lead Program: IL-4Ra x TSLP bispecific INSPIRE Enabling a differentiated, wholly-owned pipeline Platform Proprietary, fully IgG-based multispecific platform Team Proven drug development and execution expertise Leadership Experienced leadership team Capital Significant clinical milestones expected throughout 2027 Catalysts Capital to advance multiple programs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Prana’s Proprietary, Wholly-Owned, INSPIRE Platform is ?Designed to Power the Next Wave of Multispecific Therapeutics Elevated Clinical Outcomes Optimized ?PK &amp; Dosing Clinically Validated?Drug Properties Scalable Pipeline Generation Validated Biology Multi-target ?combinations designed ?to overcome efficacy ceilings Extended Half-Life Extended exposure ?and durability designed ?to enable infrequent, single, at-home ?injection IgG-based Design Leverages established mAb architecture to support stability, manufacturability, high-concentration formulation, and low immunogenicity risk Modular Architecture Rapid generation of potentially differentiated products across therapeutic areas PK – Pharmacokinetics; mAb – Monoclonal Antibody; IgG – Immunoglobulin G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Experienced Leadership with a Proven Track Record in Biologics Innovation and Value Creation Prana's Leadership Team Sheila Gujrathi Founder &amp; Chief Executive Officer Hector Ortega Chief Medical Officer Ryan Sullivan Chief Scientific Officer Miguel Sanjuan Founder &amp; Strategic Scientific Advisor Christina Trout VP Corporate Development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Clinically Validated Platform Driving Anticipated Near-Term Clinical Inflections and Potential Multi-TA Pipeline Expansion PROGRAM PRECLINICAL PHASE 1 PHASE 2 PHASE 3 IMMUNOLOGY &amp; INFLAMMATION Atopic Disease PRA-216 IL-4Rα x TSLP Program 2 IL-31 x Undisclosed INSPIRE DISCOVERY ENGINE Multiple Discovery and Preclinical-Stage ?Programs Across Therapeutic Areas Patient Data x4: Q2-Q4 2027 Ph3-Ready Expected Early 2028 IND-Enabling: Programs 3 &amp; 4 2H 2027 FIH &amp; Data: HV &amp; AD 2H 2027 EXPECTED CATALYSTS: Asthma COPD Atopic Dermatitis Eosinophilic Esophagitis (planned) Atopic Dermatitis FIH – First-in-Human; HV – Healthy Volunteers; AD – Atopic Dermatitis; IND – Investigational New Drug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PRA-216 Is Designed for Large, Clinically Validated Markets ?With Significant Opportunity to Improve Clinical Outcomes The results are presented from different clinical trials at different points in time with different trial designs. No head-to-head trials have been conducted among the results shown and cross-trial comparisons must  be interpreted with caution. As a result, conclusive cross-trial comparisons cannot be made;  1 Patient populations: Global Prevalence: Asthma Yang 2025, COPD Adeloye 2022, AD Tian 2023, US+EU5+Japan Prevalence: Sanofi Epidemiology 2023 Report; 2 Market sizes: Global Total Market Size, Asthma 2023, AD 2025 – Source: Grand View Research, COPD 2023 – Source: GlobalData; 3 Asthma and COPD Exacerbation Data: Drug Labels, Singh D et al 2024 monotherapy efficacy ceilings (TSLP) (IL-4Rα) (IL-5Rα) (IL-5) N/A MARKET OPPORTUNITY1,2 Asthma $26.4B global market 262M patients globally · 47M US/EU5/JP COPD $17.4B global market 392M patients globally · 23M US/EU5/JP Atopic Dermatitis $19.4B global market 204M patients globally · 17M US/EU5/JP MONOTHERAPY EFFICACY CEILING3 PRA-216 is designed to break through efficacy ceilings by combining ?the most clinically validated targets in respiratory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PRA-216 Combines the Most Clinically Validated Alarmin ?and Type 2 Cytokine Pathways in Asthma and COPD Blocks alarmin-driven initiation IL-4Rα pathway TSLP pathway TARGET PRODUCT PROFILE Blocks both IL-4 and IL-13 signaling Upstream · Epithelial alarmin Downstream · Type 2 effector Greater efficacy Combining the right targets to ?achieve superior clinical outcomes Broader disease coverage Potential to treat heterogeneous ?and comorbid populations across the atopic march Patient convenience Potential Q8-12W dosing via a ?single at-home auto-injector Th2 Diff. Amplifi-cation Effector function IgE Prod. Mucus &amp; Remodel. Clinical Efficacy IL-4 + IL-13 ++ ++ ++ ++ ++ ++ IL-13 +/- - + +/- ++ +/- IL-4Rα BLOCKADE HAS BEEN SUPERIOR VS IL-131 COMPLEMENTARY, NON-REDUNDANT BIOLOGY 1 Hanania et al 2016, Sahnoon et al 2025; Barnes et al 2008, Panettieri et al 2018; Q8-12W – Every 8 to 12 weeks IL-4Rα IL-13 IL-4 TSLPR TSLP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PRA-216 is Potentially Differentiated on Both Target Biology ?and Exposure Vs. Clinical-Stage Competitors Designed for sustained target coverage with single SC Q8-12W dosing PRA-216 IL-4Rα x TSLP Designed for broad and deep pathway blockade  Broad biology IL-4Rα x TSLP Extended exposure, Durable target coverage (Q8-12W) Wrong targets, Insufficient exposure Right targets, Insufficient exposure Narrower biology IL-13 x TSLP Shorter exposure, Lack of target coverage (Q2-4W) Wrong targets, Sufficient exposure Broad pathway blockade Early induction activity Coverage wanes in maintenance More frequent chronic dosing Potential across subpopulations &amp; comorbidities Single SC injection Q8-12W potential Durable maintenance coverage observed Narrower pathway blockade Limited patient breadth Coverage wanes in maintenance Narrower pathway blockade Limited patient breadth Durable, but incomplete coverage    Right targets, Sufficient exposure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Prana’s INSPIRE Format is Designed to Deliver Enhanced In Vivo PK Relative to Other Formats Average parameters from individual animal fits to 2 compartment PK model Animals omitted if poor fit / suspected early ADA Molecule Format CL (mL/kg/h) Beta t1/2 (days) PRA-216 [YTE] INSPIRE 0.06 32 C’ scFv [YTE] 0.21 9 N’ scFv [YTE] 0.36 4 Dupilumab* 0.12 17 *The head-to-head comparisons presented on this slide are from an internal preclinical study using internally produced surrogate molecules of dupilumab. Preclinical results, including those based off surrogate molecules, may not be predictive of clinical outcomes and accordingly, these data should be interpreted with caution.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Safety Results1 Study Schematic Phase 1 Observation Safety Findings SAEs/AESIs None Grade ≥3 TEAEs None ISRs or Local pain None Conjunctivitis None Phase 2 underway based on these promising PK, PD, and Safety Data 600mg 600mg 1200mg 600mg SAD SC MAD SC (Q2Wx3) SAD IV Double-blind, placebo-controlled N=57; n=8 per group (6:2) Healthy volunteers with elevated baseline FeNO Baseline characteristics and demographics as expected Study Characteristics PRA-216 Demonstrates Favorable Safety and Tolerability ?Profile In Phase 1 Trial Q2Wx3 = 1 dose every 2 weeks for 3 doses in total; SAD Single Ascending Dose; MAD Multiple Ascending Dose, IV intravenous, SC subcutaneous SAE serious adverse events; AESI adverse events of special interest; TEAE treatment emergent adverse events, ISR injection site reaction, PK pharmacokinetic, PD pharmacodynamic, 1 Safety Findings as of September 1, 2026 300mg 300mg 300mg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PRA-216 Phase 1 PK Profiles Demonstrated Sustained ?Exposure and Support Extended Dosing Potential IV intravenous, SC subcutaneous, PK pharmacokinetic, TMDD target mediated drug disposition, LLOQ lower limit of quantification, ADA Anti-Drug Antibodies PRA-216's Exposure was High and Sustained above the TMDD Threshold, with Compelling SC Exposure, 85% Bioavailability, and 2.3% Low-Titer ADA Across Study Exposure beyond Q8W Mean + SD shown dose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 Will evaluate Q8W maintenance; future Q12+W regimens may be enabled ?by PD durability 600mg Q8W maintenance is modeled to: Exceed target exposure ?(clinical-response EC90) Maintain receptor occupancy at Ctrough Modeling assumes no pharmacologic ?synergy between the two targets Intended commercial presentation: infrequent, at-home, single injection PRA-216 PK Exposure Profile Potentially Enables Q8-12W Maintenance Dosing Dashed Lines indicate the Molar-Adjusted EC90 Exposure for dupilumab and tezepelumab Induction (Q2W x 3) Maintenance (Q8W) Tezepelumab EC90 15.4 mg/mL: Ly et al JCP 2021; Dupilumab EC90 15.8 mg/mL: AusPAR 2022; both molar-adjusted to PRA-216 molecular weight. Based on internal modeling.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50% Serum TARC 100% Blood Eosinophils 25% Serum IgE Suggests potential for Broad and Deep Type 2 inflammatory control through upstream and downstream pathway inhibition PRA-216 Demonstrated Rapid, Deep, and Durable Responses ?in Key Type 2 Serum and Blood Biomarkers Through Week 12 up to up to up to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PRA-216 Phase 1 Data Met or Exceeded Trial Objectives COPD Chronic Obstructive Pulmonary Disease, AD Atopic Dermatitis EoE Eosinophilic Esophagitis, NHV Normal Healthy Volunteer, PoC Proof of Concept, ADA Anti-drug Antibodies  GOAL Demonstrate differentiated bispecific PK profile Results Potential Best-in-Class PK differentiated from benchmark bispecifics Exposure supports Q8-12W dosing Results Results Robust, rapid, and durable responses observed in key ?Type 2 biomarkers including serum TARC and IgE, and blood eosinophils Favorable &amp; well-tolerated with no SAEs, ISRs or conjunctivitis Very low ADA with no impact on PD GOAL Establish favorable ?safety profile GOAL Demonstrate robust PD ?activity in NHV Clinical data support rapid progression to Phase 2, positioning PRA-216 ?as a potential best-in-disease therapy in Asthma, COPD, AD and EoE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Prana Therapies: Advancing Next-Generation Multispecific Antibodies with Best-in-Disease Potential WHOLLY-OWNED PLATFORM · LEAD PROGRAM IN PHASE 2 · CLEAR PATH TO VALUE CREATION PRA-216 Multiple Phase 2 readouts expected beginning Q2-Q4 2027 Phase 2 Lead Program: IL-4Ra x TSLP bispecific INSPIRE Enabling a differentiated, wholly-owned pipeline Platform Proprietary, fully IgG-based multispecific platform Team Proven drug development and execution expertise Leadership Experienced leadership team Capital Significant clinical milestones expected throughout 2027 Catalysts Capital to advance multiple programs | 17 Expected Catalysts Q2-Q4 2027 PRA-216 Phase 2 PoC Asthma | COPD | AD | EoE 2H27 Program 2 FIH and Data Healthy Volunteer | AD Programs 3 &amp; 4 IND-enabling Early 2028 PRA-216 Ph3-ready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116920</Words>
  <Characters>631584</Characters>
  <CharactersWithSpaces>747068</CharactersWithSpaces>
  <Paragraphs>3364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