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LAPORTE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BOLT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Bolt Biotherapeutics, Inc.</w:t>
              </w:r>
            </w:hyperlink>
            <w:r>
              <w:rPr/>
              <w:t xml:space="preserve"> [ </w:t>
            </w:r>
            <w:r>
              <w:rPr>
                <w:rFonts w:ascii="Times;serif" w:hAnsi="Times;serif"/>
                <w:color w:val="0000FF"/>
                <w:sz w:val="24"/>
                <w:shd w:fill="FFFFFF" w:val="clear"/>
              </w:rPr>
              <w:t>BOLT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on the earlier of June 9, 2027 or the day immediately prior to the next annual meeting of stockholders, subject to the Reporting Person's continuous service through such date; provided, however that the option will vest in full upon a change in control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P. Quinn,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6201" TargetMode="External"/><Relationship Id="rId5" Type="http://schemas.openxmlformats.org/officeDocument/2006/relationships/hyperlink" Target="http://www.sec.gov/cgi-bin/browse-edgar?action=getcompany&amp;CIK=0001641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3367</Characters>
  <CharactersWithSpaces>3929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